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F5" w:rsidRPr="000B45F2" w:rsidRDefault="009802FF" w:rsidP="009802FF">
      <w:pPr>
        <w:jc w:val="center"/>
        <w:rPr>
          <w:rFonts w:ascii="Arial" w:hAnsi="Arial" w:cs="Arial"/>
          <w:b/>
          <w:sz w:val="26"/>
          <w:szCs w:val="26"/>
        </w:rPr>
      </w:pPr>
      <w:r w:rsidRPr="000B45F2">
        <w:rPr>
          <w:rFonts w:ascii="Arial" w:hAnsi="Arial" w:cs="Arial"/>
          <w:b/>
          <w:sz w:val="26"/>
          <w:szCs w:val="26"/>
        </w:rPr>
        <w:t>USUCON Paper</w:t>
      </w:r>
    </w:p>
    <w:p w:rsidR="009802FF" w:rsidRPr="000B45F2" w:rsidRDefault="009802FF" w:rsidP="009802FF">
      <w:pPr>
        <w:jc w:val="center"/>
        <w:rPr>
          <w:rFonts w:ascii="Arial" w:hAnsi="Arial" w:cs="Arial"/>
          <w:b/>
          <w:sz w:val="26"/>
          <w:szCs w:val="26"/>
        </w:rPr>
      </w:pPr>
    </w:p>
    <w:p w:rsidR="009802FF" w:rsidRPr="000B45F2" w:rsidRDefault="009802FF" w:rsidP="009802FF">
      <w:pPr>
        <w:jc w:val="center"/>
        <w:rPr>
          <w:rFonts w:ascii="Arial" w:hAnsi="Arial" w:cs="Arial"/>
          <w:b/>
          <w:sz w:val="26"/>
          <w:szCs w:val="26"/>
        </w:rPr>
      </w:pPr>
      <w:r w:rsidRPr="000B45F2">
        <w:rPr>
          <w:rFonts w:ascii="Arial" w:hAnsi="Arial" w:cs="Arial"/>
          <w:b/>
          <w:sz w:val="26"/>
          <w:szCs w:val="26"/>
        </w:rPr>
        <w:t>Essex Sport – Passport to Sport Prices 2013/14</w:t>
      </w:r>
    </w:p>
    <w:p w:rsidR="009802FF" w:rsidRDefault="009802FF" w:rsidP="009802FF">
      <w:pPr>
        <w:rPr>
          <w:rFonts w:ascii="Arial" w:hAnsi="Arial" w:cs="Arial"/>
          <w:sz w:val="28"/>
          <w:szCs w:val="28"/>
        </w:rPr>
      </w:pPr>
    </w:p>
    <w:p w:rsidR="000B45F2" w:rsidRDefault="000B45F2" w:rsidP="00877759">
      <w:pPr>
        <w:jc w:val="both"/>
        <w:rPr>
          <w:rFonts w:ascii="Arial" w:hAnsi="Arial" w:cs="Arial"/>
        </w:rPr>
      </w:pPr>
      <w:r>
        <w:rPr>
          <w:rFonts w:ascii="Arial" w:hAnsi="Arial" w:cs="Arial"/>
        </w:rPr>
        <w:t>USUCON members are requested to discuss the proposed Passport to Sport prices for 2013/14 and offer their views.</w:t>
      </w:r>
    </w:p>
    <w:p w:rsidR="000B45F2" w:rsidRDefault="000B45F2" w:rsidP="009802FF">
      <w:pPr>
        <w:rPr>
          <w:rFonts w:ascii="Arial" w:hAnsi="Arial" w:cs="Arial"/>
        </w:rPr>
      </w:pPr>
    </w:p>
    <w:p w:rsidR="000B45F2" w:rsidRDefault="000B45F2" w:rsidP="009802FF">
      <w:pPr>
        <w:rPr>
          <w:rFonts w:ascii="Arial" w:hAnsi="Arial" w:cs="Arial"/>
          <w:b/>
          <w:sz w:val="26"/>
          <w:szCs w:val="26"/>
        </w:rPr>
      </w:pPr>
      <w:r w:rsidRPr="000B45F2">
        <w:rPr>
          <w:rFonts w:ascii="Arial" w:hAnsi="Arial" w:cs="Arial"/>
          <w:b/>
          <w:sz w:val="26"/>
          <w:szCs w:val="26"/>
        </w:rPr>
        <w:t>Colchester</w:t>
      </w:r>
    </w:p>
    <w:p w:rsidR="000B45F2" w:rsidRDefault="000B45F2" w:rsidP="009802FF">
      <w:pPr>
        <w:rPr>
          <w:rFonts w:ascii="Arial" w:hAnsi="Arial" w:cs="Arial"/>
          <w:b/>
        </w:rPr>
      </w:pPr>
    </w:p>
    <w:p w:rsidR="000B45F2" w:rsidRDefault="000B45F2" w:rsidP="009802FF">
      <w:pPr>
        <w:rPr>
          <w:rFonts w:ascii="Arial" w:hAnsi="Arial" w:cs="Arial"/>
        </w:rPr>
      </w:pPr>
      <w:r>
        <w:rPr>
          <w:rFonts w:ascii="Arial" w:hAnsi="Arial" w:cs="Arial"/>
        </w:rPr>
        <w:t xml:space="preserve">The following prices are proposed for </w:t>
      </w:r>
      <w:r w:rsidR="0012756B">
        <w:rPr>
          <w:rFonts w:ascii="Arial" w:hAnsi="Arial" w:cs="Arial"/>
        </w:rPr>
        <w:t xml:space="preserve">Passport to Sport </w:t>
      </w:r>
      <w:r>
        <w:rPr>
          <w:rFonts w:ascii="Arial" w:hAnsi="Arial" w:cs="Arial"/>
        </w:rPr>
        <w:t>2013/14:</w:t>
      </w:r>
    </w:p>
    <w:p w:rsidR="000B45F2" w:rsidRDefault="000B45F2" w:rsidP="009802FF">
      <w:pPr>
        <w:rPr>
          <w:rFonts w:ascii="Arial" w:hAnsi="Arial" w:cs="Arial"/>
        </w:rPr>
      </w:pPr>
    </w:p>
    <w:p w:rsidR="0012756B" w:rsidRPr="0012756B" w:rsidRDefault="0012756B" w:rsidP="0012756B">
      <w:pPr>
        <w:jc w:val="center"/>
        <w:rPr>
          <w:rFonts w:ascii="Arial" w:hAnsi="Arial" w:cs="Arial"/>
          <w:b/>
        </w:rPr>
      </w:pPr>
      <w:r>
        <w:rPr>
          <w:rFonts w:ascii="Arial" w:hAnsi="Arial" w:cs="Arial"/>
          <w:b/>
        </w:rPr>
        <w:t>Student Prices</w:t>
      </w:r>
    </w:p>
    <w:tbl>
      <w:tblPr>
        <w:tblStyle w:val="TableGrid"/>
        <w:tblW w:w="0" w:type="auto"/>
        <w:tblLook w:val="04A0"/>
      </w:tblPr>
      <w:tblGrid>
        <w:gridCol w:w="2310"/>
        <w:gridCol w:w="2310"/>
        <w:gridCol w:w="2311"/>
        <w:gridCol w:w="2311"/>
      </w:tblGrid>
      <w:tr w:rsidR="0012756B" w:rsidTr="0012756B">
        <w:tc>
          <w:tcPr>
            <w:tcW w:w="2310" w:type="dxa"/>
          </w:tcPr>
          <w:p w:rsidR="0012756B" w:rsidRPr="0012756B" w:rsidRDefault="0012756B" w:rsidP="009802FF">
            <w:pPr>
              <w:rPr>
                <w:rFonts w:ascii="Arial" w:hAnsi="Arial" w:cs="Arial"/>
                <w:b/>
              </w:rPr>
            </w:pPr>
            <w:r w:rsidRPr="0012756B">
              <w:rPr>
                <w:rFonts w:ascii="Arial" w:hAnsi="Arial" w:cs="Arial"/>
                <w:b/>
              </w:rPr>
              <w:t>Member category</w:t>
            </w:r>
          </w:p>
        </w:tc>
        <w:tc>
          <w:tcPr>
            <w:tcW w:w="2310" w:type="dxa"/>
          </w:tcPr>
          <w:p w:rsidR="0012756B" w:rsidRPr="0012756B" w:rsidRDefault="0012756B" w:rsidP="0012756B">
            <w:pPr>
              <w:jc w:val="center"/>
              <w:rPr>
                <w:rFonts w:ascii="Arial" w:hAnsi="Arial" w:cs="Arial"/>
                <w:b/>
              </w:rPr>
            </w:pPr>
            <w:r w:rsidRPr="0012756B">
              <w:rPr>
                <w:rFonts w:ascii="Arial" w:hAnsi="Arial" w:cs="Arial"/>
                <w:b/>
              </w:rPr>
              <w:t>2012/13</w:t>
            </w:r>
          </w:p>
        </w:tc>
        <w:tc>
          <w:tcPr>
            <w:tcW w:w="2311" w:type="dxa"/>
          </w:tcPr>
          <w:p w:rsidR="0012756B" w:rsidRPr="0012756B" w:rsidRDefault="0012756B" w:rsidP="0012756B">
            <w:pPr>
              <w:jc w:val="center"/>
              <w:rPr>
                <w:rFonts w:ascii="Arial" w:hAnsi="Arial" w:cs="Arial"/>
                <w:b/>
              </w:rPr>
            </w:pPr>
            <w:r w:rsidRPr="0012756B">
              <w:rPr>
                <w:rFonts w:ascii="Arial" w:hAnsi="Arial" w:cs="Arial"/>
                <w:b/>
              </w:rPr>
              <w:t>2013/14</w:t>
            </w:r>
          </w:p>
        </w:tc>
        <w:tc>
          <w:tcPr>
            <w:tcW w:w="2311" w:type="dxa"/>
          </w:tcPr>
          <w:p w:rsidR="0012756B" w:rsidRPr="0012756B" w:rsidRDefault="0012756B" w:rsidP="0012756B">
            <w:pPr>
              <w:jc w:val="center"/>
              <w:rPr>
                <w:rFonts w:ascii="Arial" w:hAnsi="Arial" w:cs="Arial"/>
                <w:b/>
              </w:rPr>
            </w:pPr>
            <w:r w:rsidRPr="0012756B">
              <w:rPr>
                <w:rFonts w:ascii="Arial" w:hAnsi="Arial" w:cs="Arial"/>
                <w:b/>
              </w:rPr>
              <w:t>% increase</w:t>
            </w:r>
          </w:p>
        </w:tc>
      </w:tr>
      <w:tr w:rsidR="0012756B" w:rsidTr="0012756B">
        <w:tc>
          <w:tcPr>
            <w:tcW w:w="2310" w:type="dxa"/>
          </w:tcPr>
          <w:p w:rsidR="0012756B" w:rsidRPr="0012756B" w:rsidRDefault="0012756B" w:rsidP="009802FF">
            <w:pPr>
              <w:rPr>
                <w:rFonts w:ascii="Arial" w:hAnsi="Arial" w:cs="Arial"/>
                <w:b/>
              </w:rPr>
            </w:pPr>
            <w:r w:rsidRPr="0012756B">
              <w:rPr>
                <w:rFonts w:ascii="Arial" w:hAnsi="Arial" w:cs="Arial"/>
                <w:b/>
              </w:rPr>
              <w:t>Bronze</w:t>
            </w:r>
          </w:p>
        </w:tc>
        <w:tc>
          <w:tcPr>
            <w:tcW w:w="2310" w:type="dxa"/>
          </w:tcPr>
          <w:p w:rsidR="0012756B" w:rsidRPr="0012756B" w:rsidRDefault="0012756B" w:rsidP="0012756B">
            <w:pPr>
              <w:jc w:val="center"/>
              <w:rPr>
                <w:rFonts w:ascii="Arial" w:hAnsi="Arial" w:cs="Arial"/>
              </w:rPr>
            </w:pPr>
            <w:r w:rsidRPr="0012756B">
              <w:rPr>
                <w:rFonts w:ascii="Arial" w:hAnsi="Arial" w:cs="Arial"/>
              </w:rPr>
              <w:t>£60</w:t>
            </w:r>
          </w:p>
        </w:tc>
        <w:tc>
          <w:tcPr>
            <w:tcW w:w="2311" w:type="dxa"/>
          </w:tcPr>
          <w:p w:rsidR="0012756B" w:rsidRPr="0012756B" w:rsidRDefault="0012756B" w:rsidP="0012756B">
            <w:pPr>
              <w:jc w:val="center"/>
              <w:rPr>
                <w:rFonts w:ascii="Arial" w:hAnsi="Arial" w:cs="Arial"/>
              </w:rPr>
            </w:pPr>
            <w:r w:rsidRPr="0012756B">
              <w:rPr>
                <w:rFonts w:ascii="Arial" w:hAnsi="Arial" w:cs="Arial"/>
              </w:rPr>
              <w:t>£6</w:t>
            </w:r>
            <w:r w:rsidR="00176C63">
              <w:rPr>
                <w:rFonts w:ascii="Arial" w:hAnsi="Arial" w:cs="Arial"/>
              </w:rPr>
              <w:t>0</w:t>
            </w:r>
          </w:p>
        </w:tc>
        <w:tc>
          <w:tcPr>
            <w:tcW w:w="2311" w:type="dxa"/>
          </w:tcPr>
          <w:p w:rsidR="0012756B" w:rsidRPr="0012756B" w:rsidRDefault="00176C63" w:rsidP="0012756B">
            <w:pPr>
              <w:jc w:val="center"/>
              <w:rPr>
                <w:rFonts w:ascii="Arial" w:hAnsi="Arial" w:cs="Arial"/>
              </w:rPr>
            </w:pPr>
            <w:r>
              <w:rPr>
                <w:rFonts w:ascii="Arial" w:hAnsi="Arial" w:cs="Arial"/>
              </w:rPr>
              <w:t>0</w:t>
            </w:r>
            <w:r w:rsidR="0012756B" w:rsidRPr="0012756B">
              <w:rPr>
                <w:rFonts w:ascii="Arial" w:hAnsi="Arial" w:cs="Arial"/>
              </w:rPr>
              <w:t>%</w:t>
            </w:r>
          </w:p>
        </w:tc>
      </w:tr>
      <w:tr w:rsidR="0012756B" w:rsidTr="0012756B">
        <w:tc>
          <w:tcPr>
            <w:tcW w:w="2310" w:type="dxa"/>
          </w:tcPr>
          <w:p w:rsidR="0012756B" w:rsidRPr="0012756B" w:rsidRDefault="0012756B" w:rsidP="009802FF">
            <w:pPr>
              <w:rPr>
                <w:rFonts w:ascii="Arial" w:hAnsi="Arial" w:cs="Arial"/>
                <w:b/>
              </w:rPr>
            </w:pPr>
            <w:r w:rsidRPr="0012756B">
              <w:rPr>
                <w:rFonts w:ascii="Arial" w:hAnsi="Arial" w:cs="Arial"/>
                <w:b/>
              </w:rPr>
              <w:t>Silver</w:t>
            </w:r>
          </w:p>
        </w:tc>
        <w:tc>
          <w:tcPr>
            <w:tcW w:w="2310" w:type="dxa"/>
          </w:tcPr>
          <w:p w:rsidR="0012756B" w:rsidRPr="0012756B" w:rsidRDefault="0012756B" w:rsidP="0012756B">
            <w:pPr>
              <w:jc w:val="center"/>
              <w:rPr>
                <w:rFonts w:ascii="Arial" w:hAnsi="Arial" w:cs="Arial"/>
              </w:rPr>
            </w:pPr>
            <w:r w:rsidRPr="0012756B">
              <w:rPr>
                <w:rFonts w:ascii="Arial" w:hAnsi="Arial" w:cs="Arial"/>
              </w:rPr>
              <w:t>£135</w:t>
            </w:r>
          </w:p>
        </w:tc>
        <w:tc>
          <w:tcPr>
            <w:tcW w:w="2311" w:type="dxa"/>
          </w:tcPr>
          <w:p w:rsidR="0012756B" w:rsidRPr="0012756B" w:rsidRDefault="0012756B" w:rsidP="0012756B">
            <w:pPr>
              <w:jc w:val="center"/>
              <w:rPr>
                <w:rFonts w:ascii="Arial" w:hAnsi="Arial" w:cs="Arial"/>
              </w:rPr>
            </w:pPr>
            <w:r w:rsidRPr="0012756B">
              <w:rPr>
                <w:rFonts w:ascii="Arial" w:hAnsi="Arial" w:cs="Arial"/>
              </w:rPr>
              <w:t>£140</w:t>
            </w:r>
          </w:p>
        </w:tc>
        <w:tc>
          <w:tcPr>
            <w:tcW w:w="2311" w:type="dxa"/>
          </w:tcPr>
          <w:p w:rsidR="0012756B" w:rsidRPr="0012756B" w:rsidRDefault="0012756B" w:rsidP="0012756B">
            <w:pPr>
              <w:jc w:val="center"/>
              <w:rPr>
                <w:rFonts w:ascii="Arial" w:hAnsi="Arial" w:cs="Arial"/>
              </w:rPr>
            </w:pPr>
            <w:r w:rsidRPr="0012756B">
              <w:rPr>
                <w:rFonts w:ascii="Arial" w:hAnsi="Arial" w:cs="Arial"/>
              </w:rPr>
              <w:t>3.7%</w:t>
            </w:r>
          </w:p>
        </w:tc>
      </w:tr>
      <w:tr w:rsidR="0012756B" w:rsidTr="0012756B">
        <w:tc>
          <w:tcPr>
            <w:tcW w:w="2310" w:type="dxa"/>
          </w:tcPr>
          <w:p w:rsidR="0012756B" w:rsidRPr="0012756B" w:rsidRDefault="0012756B" w:rsidP="009802FF">
            <w:pPr>
              <w:rPr>
                <w:rFonts w:ascii="Arial" w:hAnsi="Arial" w:cs="Arial"/>
                <w:b/>
              </w:rPr>
            </w:pPr>
            <w:r w:rsidRPr="0012756B">
              <w:rPr>
                <w:rFonts w:ascii="Arial" w:hAnsi="Arial" w:cs="Arial"/>
                <w:b/>
              </w:rPr>
              <w:t>Gold</w:t>
            </w:r>
          </w:p>
        </w:tc>
        <w:tc>
          <w:tcPr>
            <w:tcW w:w="2310" w:type="dxa"/>
          </w:tcPr>
          <w:p w:rsidR="0012756B" w:rsidRPr="0012756B" w:rsidRDefault="0012756B" w:rsidP="0012756B">
            <w:pPr>
              <w:jc w:val="center"/>
              <w:rPr>
                <w:rFonts w:ascii="Arial" w:hAnsi="Arial" w:cs="Arial"/>
              </w:rPr>
            </w:pPr>
            <w:r w:rsidRPr="0012756B">
              <w:rPr>
                <w:rFonts w:ascii="Arial" w:hAnsi="Arial" w:cs="Arial"/>
              </w:rPr>
              <w:t>£170</w:t>
            </w:r>
          </w:p>
        </w:tc>
        <w:tc>
          <w:tcPr>
            <w:tcW w:w="2311" w:type="dxa"/>
          </w:tcPr>
          <w:p w:rsidR="0012756B" w:rsidRPr="0012756B" w:rsidRDefault="0012756B" w:rsidP="0012756B">
            <w:pPr>
              <w:jc w:val="center"/>
              <w:rPr>
                <w:rFonts w:ascii="Arial" w:hAnsi="Arial" w:cs="Arial"/>
              </w:rPr>
            </w:pPr>
            <w:r w:rsidRPr="0012756B">
              <w:rPr>
                <w:rFonts w:ascii="Arial" w:hAnsi="Arial" w:cs="Arial"/>
              </w:rPr>
              <w:t>£175</w:t>
            </w:r>
          </w:p>
        </w:tc>
        <w:tc>
          <w:tcPr>
            <w:tcW w:w="2311" w:type="dxa"/>
          </w:tcPr>
          <w:p w:rsidR="0012756B" w:rsidRPr="0012756B" w:rsidRDefault="0012756B" w:rsidP="0012756B">
            <w:pPr>
              <w:jc w:val="center"/>
              <w:rPr>
                <w:rFonts w:ascii="Arial" w:hAnsi="Arial" w:cs="Arial"/>
              </w:rPr>
            </w:pPr>
            <w:r w:rsidRPr="0012756B">
              <w:rPr>
                <w:rFonts w:ascii="Arial" w:hAnsi="Arial" w:cs="Arial"/>
              </w:rPr>
              <w:t>2.9%</w:t>
            </w:r>
          </w:p>
        </w:tc>
      </w:tr>
    </w:tbl>
    <w:p w:rsidR="009802FF" w:rsidRDefault="009802FF" w:rsidP="009802FF">
      <w:pPr>
        <w:rPr>
          <w:rFonts w:ascii="Arial" w:hAnsi="Arial" w:cs="Arial"/>
        </w:rPr>
      </w:pPr>
    </w:p>
    <w:p w:rsidR="0012756B" w:rsidRDefault="0012756B" w:rsidP="0012756B">
      <w:pPr>
        <w:jc w:val="center"/>
        <w:rPr>
          <w:rFonts w:ascii="Arial" w:hAnsi="Arial" w:cs="Arial"/>
          <w:b/>
        </w:rPr>
      </w:pPr>
      <w:r>
        <w:rPr>
          <w:rFonts w:ascii="Arial" w:hAnsi="Arial" w:cs="Arial"/>
          <w:b/>
        </w:rPr>
        <w:t>Staff Prices</w:t>
      </w:r>
    </w:p>
    <w:tbl>
      <w:tblPr>
        <w:tblStyle w:val="TableGrid"/>
        <w:tblW w:w="0" w:type="auto"/>
        <w:tblLook w:val="04A0"/>
      </w:tblPr>
      <w:tblGrid>
        <w:gridCol w:w="1848"/>
        <w:gridCol w:w="1848"/>
        <w:gridCol w:w="1848"/>
        <w:gridCol w:w="1849"/>
        <w:gridCol w:w="1849"/>
      </w:tblGrid>
      <w:tr w:rsidR="0012756B" w:rsidTr="0012756B">
        <w:tc>
          <w:tcPr>
            <w:tcW w:w="1848" w:type="dxa"/>
          </w:tcPr>
          <w:p w:rsidR="0012756B" w:rsidRPr="0012756B" w:rsidRDefault="0012756B" w:rsidP="0012756B">
            <w:pPr>
              <w:rPr>
                <w:rFonts w:ascii="Arial" w:hAnsi="Arial" w:cs="Arial"/>
                <w:b/>
              </w:rPr>
            </w:pPr>
            <w:r>
              <w:rPr>
                <w:rFonts w:ascii="Arial" w:hAnsi="Arial" w:cs="Arial"/>
                <w:b/>
              </w:rPr>
              <w:t>Member cat.</w:t>
            </w:r>
          </w:p>
        </w:tc>
        <w:tc>
          <w:tcPr>
            <w:tcW w:w="1848" w:type="dxa"/>
          </w:tcPr>
          <w:p w:rsidR="0012756B" w:rsidRPr="0012756B" w:rsidRDefault="0012756B" w:rsidP="0012756B">
            <w:pPr>
              <w:jc w:val="center"/>
              <w:rPr>
                <w:rFonts w:ascii="Arial" w:hAnsi="Arial" w:cs="Arial"/>
                <w:b/>
              </w:rPr>
            </w:pPr>
            <w:r>
              <w:rPr>
                <w:rFonts w:ascii="Arial" w:hAnsi="Arial" w:cs="Arial"/>
                <w:b/>
              </w:rPr>
              <w:t>2012/13</w:t>
            </w:r>
          </w:p>
        </w:tc>
        <w:tc>
          <w:tcPr>
            <w:tcW w:w="1848" w:type="dxa"/>
          </w:tcPr>
          <w:p w:rsidR="0012756B" w:rsidRPr="0012756B" w:rsidRDefault="0012756B" w:rsidP="0012756B">
            <w:pPr>
              <w:jc w:val="center"/>
              <w:rPr>
                <w:rFonts w:ascii="Arial" w:hAnsi="Arial" w:cs="Arial"/>
                <w:b/>
              </w:rPr>
            </w:pPr>
            <w:r>
              <w:rPr>
                <w:rFonts w:ascii="Arial" w:hAnsi="Arial" w:cs="Arial"/>
                <w:b/>
              </w:rPr>
              <w:t>2013/14</w:t>
            </w:r>
          </w:p>
        </w:tc>
        <w:tc>
          <w:tcPr>
            <w:tcW w:w="1849" w:type="dxa"/>
          </w:tcPr>
          <w:p w:rsidR="0012756B" w:rsidRPr="0012756B" w:rsidRDefault="0012756B" w:rsidP="0012756B">
            <w:pPr>
              <w:jc w:val="center"/>
              <w:rPr>
                <w:rFonts w:ascii="Arial" w:hAnsi="Arial" w:cs="Arial"/>
                <w:b/>
              </w:rPr>
            </w:pPr>
            <w:r>
              <w:rPr>
                <w:rFonts w:ascii="Arial" w:hAnsi="Arial" w:cs="Arial"/>
                <w:b/>
              </w:rPr>
              <w:t>% increase</w:t>
            </w:r>
          </w:p>
        </w:tc>
        <w:tc>
          <w:tcPr>
            <w:tcW w:w="1849" w:type="dxa"/>
          </w:tcPr>
          <w:p w:rsidR="0012756B" w:rsidRPr="0012756B" w:rsidRDefault="0012756B" w:rsidP="0012756B">
            <w:pPr>
              <w:jc w:val="center"/>
              <w:rPr>
                <w:rFonts w:ascii="Arial" w:hAnsi="Arial" w:cs="Arial"/>
                <w:b/>
              </w:rPr>
            </w:pPr>
            <w:r>
              <w:rPr>
                <w:rFonts w:ascii="Arial" w:hAnsi="Arial" w:cs="Arial"/>
                <w:b/>
              </w:rPr>
              <w:t>Monthly</w:t>
            </w:r>
          </w:p>
        </w:tc>
      </w:tr>
      <w:tr w:rsidR="0012756B" w:rsidTr="0012756B">
        <w:tc>
          <w:tcPr>
            <w:tcW w:w="1848" w:type="dxa"/>
          </w:tcPr>
          <w:p w:rsidR="0012756B" w:rsidRPr="0012756B" w:rsidRDefault="0012756B" w:rsidP="0012756B">
            <w:pPr>
              <w:rPr>
                <w:rFonts w:ascii="Arial" w:hAnsi="Arial" w:cs="Arial"/>
                <w:b/>
              </w:rPr>
            </w:pPr>
            <w:r>
              <w:rPr>
                <w:rFonts w:ascii="Arial" w:hAnsi="Arial" w:cs="Arial"/>
                <w:b/>
              </w:rPr>
              <w:t>Bronze</w:t>
            </w:r>
          </w:p>
        </w:tc>
        <w:tc>
          <w:tcPr>
            <w:tcW w:w="1848" w:type="dxa"/>
          </w:tcPr>
          <w:p w:rsidR="0012756B" w:rsidRDefault="0012756B" w:rsidP="0012756B">
            <w:pPr>
              <w:jc w:val="center"/>
              <w:rPr>
                <w:rFonts w:ascii="Arial" w:hAnsi="Arial" w:cs="Arial"/>
              </w:rPr>
            </w:pPr>
            <w:r>
              <w:rPr>
                <w:rFonts w:ascii="Arial" w:hAnsi="Arial" w:cs="Arial"/>
              </w:rPr>
              <w:t>£99</w:t>
            </w:r>
          </w:p>
        </w:tc>
        <w:tc>
          <w:tcPr>
            <w:tcW w:w="1848" w:type="dxa"/>
          </w:tcPr>
          <w:p w:rsidR="0012756B" w:rsidRDefault="0012756B" w:rsidP="0012756B">
            <w:pPr>
              <w:jc w:val="center"/>
              <w:rPr>
                <w:rFonts w:ascii="Arial" w:hAnsi="Arial" w:cs="Arial"/>
              </w:rPr>
            </w:pPr>
            <w:r>
              <w:rPr>
                <w:rFonts w:ascii="Arial" w:hAnsi="Arial" w:cs="Arial"/>
              </w:rPr>
              <w:t>£102</w:t>
            </w:r>
          </w:p>
        </w:tc>
        <w:tc>
          <w:tcPr>
            <w:tcW w:w="1849" w:type="dxa"/>
          </w:tcPr>
          <w:p w:rsidR="0012756B" w:rsidRDefault="0012756B" w:rsidP="0012756B">
            <w:pPr>
              <w:jc w:val="center"/>
              <w:rPr>
                <w:rFonts w:ascii="Arial" w:hAnsi="Arial" w:cs="Arial"/>
              </w:rPr>
            </w:pPr>
            <w:r>
              <w:rPr>
                <w:rFonts w:ascii="Arial" w:hAnsi="Arial" w:cs="Arial"/>
              </w:rPr>
              <w:t>3.0%</w:t>
            </w:r>
          </w:p>
        </w:tc>
        <w:tc>
          <w:tcPr>
            <w:tcW w:w="1849" w:type="dxa"/>
          </w:tcPr>
          <w:p w:rsidR="0012756B" w:rsidRDefault="0012756B" w:rsidP="0012756B">
            <w:pPr>
              <w:jc w:val="center"/>
              <w:rPr>
                <w:rFonts w:ascii="Arial" w:hAnsi="Arial" w:cs="Arial"/>
              </w:rPr>
            </w:pPr>
            <w:r>
              <w:rPr>
                <w:rFonts w:ascii="Arial" w:hAnsi="Arial" w:cs="Arial"/>
              </w:rPr>
              <w:t>£8.50</w:t>
            </w:r>
          </w:p>
        </w:tc>
      </w:tr>
      <w:tr w:rsidR="0012756B" w:rsidTr="0012756B">
        <w:tc>
          <w:tcPr>
            <w:tcW w:w="1848" w:type="dxa"/>
          </w:tcPr>
          <w:p w:rsidR="0012756B" w:rsidRPr="0012756B" w:rsidRDefault="0012756B" w:rsidP="0012756B">
            <w:pPr>
              <w:rPr>
                <w:rFonts w:ascii="Arial" w:hAnsi="Arial" w:cs="Arial"/>
                <w:b/>
              </w:rPr>
            </w:pPr>
            <w:r>
              <w:rPr>
                <w:rFonts w:ascii="Arial" w:hAnsi="Arial" w:cs="Arial"/>
                <w:b/>
              </w:rPr>
              <w:t>Silver</w:t>
            </w:r>
          </w:p>
        </w:tc>
        <w:tc>
          <w:tcPr>
            <w:tcW w:w="1848" w:type="dxa"/>
          </w:tcPr>
          <w:p w:rsidR="0012756B" w:rsidRDefault="0012756B" w:rsidP="0012756B">
            <w:pPr>
              <w:jc w:val="center"/>
              <w:rPr>
                <w:rFonts w:ascii="Arial" w:hAnsi="Arial" w:cs="Arial"/>
              </w:rPr>
            </w:pPr>
            <w:r>
              <w:rPr>
                <w:rFonts w:ascii="Arial" w:hAnsi="Arial" w:cs="Arial"/>
              </w:rPr>
              <w:t>£195</w:t>
            </w:r>
          </w:p>
        </w:tc>
        <w:tc>
          <w:tcPr>
            <w:tcW w:w="1848" w:type="dxa"/>
          </w:tcPr>
          <w:p w:rsidR="0012756B" w:rsidRDefault="0012756B" w:rsidP="0012756B">
            <w:pPr>
              <w:jc w:val="center"/>
              <w:rPr>
                <w:rFonts w:ascii="Arial" w:hAnsi="Arial" w:cs="Arial"/>
              </w:rPr>
            </w:pPr>
            <w:r>
              <w:rPr>
                <w:rFonts w:ascii="Arial" w:hAnsi="Arial" w:cs="Arial"/>
              </w:rPr>
              <w:t>£201</w:t>
            </w:r>
          </w:p>
        </w:tc>
        <w:tc>
          <w:tcPr>
            <w:tcW w:w="1849" w:type="dxa"/>
          </w:tcPr>
          <w:p w:rsidR="0012756B" w:rsidRDefault="0012756B" w:rsidP="0012756B">
            <w:pPr>
              <w:jc w:val="center"/>
              <w:rPr>
                <w:rFonts w:ascii="Arial" w:hAnsi="Arial" w:cs="Arial"/>
              </w:rPr>
            </w:pPr>
            <w:r>
              <w:rPr>
                <w:rFonts w:ascii="Arial" w:hAnsi="Arial" w:cs="Arial"/>
              </w:rPr>
              <w:t>3.1%</w:t>
            </w:r>
          </w:p>
        </w:tc>
        <w:tc>
          <w:tcPr>
            <w:tcW w:w="1849" w:type="dxa"/>
          </w:tcPr>
          <w:p w:rsidR="0012756B" w:rsidRDefault="0012756B" w:rsidP="0012756B">
            <w:pPr>
              <w:jc w:val="center"/>
              <w:rPr>
                <w:rFonts w:ascii="Arial" w:hAnsi="Arial" w:cs="Arial"/>
              </w:rPr>
            </w:pPr>
            <w:r>
              <w:rPr>
                <w:rFonts w:ascii="Arial" w:hAnsi="Arial" w:cs="Arial"/>
              </w:rPr>
              <w:t>£16.75</w:t>
            </w:r>
          </w:p>
        </w:tc>
      </w:tr>
      <w:tr w:rsidR="0012756B" w:rsidTr="0012756B">
        <w:tc>
          <w:tcPr>
            <w:tcW w:w="1848" w:type="dxa"/>
          </w:tcPr>
          <w:p w:rsidR="0012756B" w:rsidRPr="0012756B" w:rsidRDefault="0012756B" w:rsidP="0012756B">
            <w:pPr>
              <w:rPr>
                <w:rFonts w:ascii="Arial" w:hAnsi="Arial" w:cs="Arial"/>
                <w:b/>
              </w:rPr>
            </w:pPr>
            <w:r>
              <w:rPr>
                <w:rFonts w:ascii="Arial" w:hAnsi="Arial" w:cs="Arial"/>
                <w:b/>
              </w:rPr>
              <w:t>Gold</w:t>
            </w:r>
          </w:p>
        </w:tc>
        <w:tc>
          <w:tcPr>
            <w:tcW w:w="1848" w:type="dxa"/>
          </w:tcPr>
          <w:p w:rsidR="0012756B" w:rsidRDefault="0012756B" w:rsidP="0012756B">
            <w:pPr>
              <w:jc w:val="center"/>
              <w:rPr>
                <w:rFonts w:ascii="Arial" w:hAnsi="Arial" w:cs="Arial"/>
              </w:rPr>
            </w:pPr>
            <w:r>
              <w:rPr>
                <w:rFonts w:ascii="Arial" w:hAnsi="Arial" w:cs="Arial"/>
              </w:rPr>
              <w:t>£235</w:t>
            </w:r>
          </w:p>
        </w:tc>
        <w:tc>
          <w:tcPr>
            <w:tcW w:w="1848" w:type="dxa"/>
          </w:tcPr>
          <w:p w:rsidR="0012756B" w:rsidRDefault="0012756B" w:rsidP="0012756B">
            <w:pPr>
              <w:jc w:val="center"/>
              <w:rPr>
                <w:rFonts w:ascii="Arial" w:hAnsi="Arial" w:cs="Arial"/>
              </w:rPr>
            </w:pPr>
            <w:r>
              <w:rPr>
                <w:rFonts w:ascii="Arial" w:hAnsi="Arial" w:cs="Arial"/>
              </w:rPr>
              <w:t>£243</w:t>
            </w:r>
          </w:p>
        </w:tc>
        <w:tc>
          <w:tcPr>
            <w:tcW w:w="1849" w:type="dxa"/>
          </w:tcPr>
          <w:p w:rsidR="0012756B" w:rsidRDefault="0012756B" w:rsidP="0012756B">
            <w:pPr>
              <w:jc w:val="center"/>
              <w:rPr>
                <w:rFonts w:ascii="Arial" w:hAnsi="Arial" w:cs="Arial"/>
              </w:rPr>
            </w:pPr>
            <w:r>
              <w:rPr>
                <w:rFonts w:ascii="Arial" w:hAnsi="Arial" w:cs="Arial"/>
              </w:rPr>
              <w:t>3.4%</w:t>
            </w:r>
          </w:p>
        </w:tc>
        <w:tc>
          <w:tcPr>
            <w:tcW w:w="1849" w:type="dxa"/>
          </w:tcPr>
          <w:p w:rsidR="0012756B" w:rsidRDefault="0012756B" w:rsidP="0012756B">
            <w:pPr>
              <w:jc w:val="center"/>
              <w:rPr>
                <w:rFonts w:ascii="Arial" w:hAnsi="Arial" w:cs="Arial"/>
              </w:rPr>
            </w:pPr>
            <w:r>
              <w:rPr>
                <w:rFonts w:ascii="Arial" w:hAnsi="Arial" w:cs="Arial"/>
              </w:rPr>
              <w:t>£20.25</w:t>
            </w:r>
          </w:p>
        </w:tc>
      </w:tr>
    </w:tbl>
    <w:p w:rsidR="0012756B" w:rsidRDefault="0012756B" w:rsidP="0012756B">
      <w:pPr>
        <w:rPr>
          <w:rFonts w:ascii="Arial" w:hAnsi="Arial" w:cs="Arial"/>
        </w:rPr>
      </w:pPr>
    </w:p>
    <w:p w:rsidR="0012756B" w:rsidRDefault="00232A97" w:rsidP="00232A97">
      <w:pPr>
        <w:jc w:val="center"/>
        <w:rPr>
          <w:rFonts w:ascii="Arial" w:hAnsi="Arial" w:cs="Arial"/>
          <w:b/>
        </w:rPr>
      </w:pPr>
      <w:r>
        <w:rPr>
          <w:rFonts w:ascii="Arial" w:hAnsi="Arial" w:cs="Arial"/>
          <w:b/>
        </w:rPr>
        <w:t>Public Prices</w:t>
      </w:r>
    </w:p>
    <w:tbl>
      <w:tblPr>
        <w:tblStyle w:val="TableGrid"/>
        <w:tblW w:w="0" w:type="auto"/>
        <w:tblLook w:val="04A0"/>
      </w:tblPr>
      <w:tblGrid>
        <w:gridCol w:w="1848"/>
        <w:gridCol w:w="1848"/>
        <w:gridCol w:w="1848"/>
        <w:gridCol w:w="1849"/>
        <w:gridCol w:w="1849"/>
      </w:tblGrid>
      <w:tr w:rsidR="00232A97" w:rsidRPr="0012756B" w:rsidTr="00D47DAC">
        <w:tc>
          <w:tcPr>
            <w:tcW w:w="1848" w:type="dxa"/>
          </w:tcPr>
          <w:p w:rsidR="00232A97" w:rsidRPr="0012756B" w:rsidRDefault="00232A97" w:rsidP="00D47DAC">
            <w:pPr>
              <w:rPr>
                <w:rFonts w:ascii="Arial" w:hAnsi="Arial" w:cs="Arial"/>
                <w:b/>
              </w:rPr>
            </w:pPr>
            <w:r>
              <w:rPr>
                <w:rFonts w:ascii="Arial" w:hAnsi="Arial" w:cs="Arial"/>
                <w:b/>
              </w:rPr>
              <w:t>Member cat.</w:t>
            </w:r>
          </w:p>
        </w:tc>
        <w:tc>
          <w:tcPr>
            <w:tcW w:w="1848" w:type="dxa"/>
          </w:tcPr>
          <w:p w:rsidR="00232A97" w:rsidRPr="0012756B" w:rsidRDefault="00232A97" w:rsidP="00D47DAC">
            <w:pPr>
              <w:jc w:val="center"/>
              <w:rPr>
                <w:rFonts w:ascii="Arial" w:hAnsi="Arial" w:cs="Arial"/>
                <w:b/>
              </w:rPr>
            </w:pPr>
            <w:r>
              <w:rPr>
                <w:rFonts w:ascii="Arial" w:hAnsi="Arial" w:cs="Arial"/>
                <w:b/>
              </w:rPr>
              <w:t>2012/13</w:t>
            </w:r>
          </w:p>
        </w:tc>
        <w:tc>
          <w:tcPr>
            <w:tcW w:w="1848" w:type="dxa"/>
          </w:tcPr>
          <w:p w:rsidR="00232A97" w:rsidRPr="0012756B" w:rsidRDefault="00232A97" w:rsidP="00D47DAC">
            <w:pPr>
              <w:jc w:val="center"/>
              <w:rPr>
                <w:rFonts w:ascii="Arial" w:hAnsi="Arial" w:cs="Arial"/>
                <w:b/>
              </w:rPr>
            </w:pPr>
            <w:r>
              <w:rPr>
                <w:rFonts w:ascii="Arial" w:hAnsi="Arial" w:cs="Arial"/>
                <w:b/>
              </w:rPr>
              <w:t>2013/14</w:t>
            </w:r>
          </w:p>
        </w:tc>
        <w:tc>
          <w:tcPr>
            <w:tcW w:w="1849" w:type="dxa"/>
          </w:tcPr>
          <w:p w:rsidR="00232A97" w:rsidRPr="0012756B" w:rsidRDefault="00232A97" w:rsidP="00D47DAC">
            <w:pPr>
              <w:jc w:val="center"/>
              <w:rPr>
                <w:rFonts w:ascii="Arial" w:hAnsi="Arial" w:cs="Arial"/>
                <w:b/>
              </w:rPr>
            </w:pPr>
            <w:r>
              <w:rPr>
                <w:rFonts w:ascii="Arial" w:hAnsi="Arial" w:cs="Arial"/>
                <w:b/>
              </w:rPr>
              <w:t>% increase</w:t>
            </w:r>
          </w:p>
        </w:tc>
        <w:tc>
          <w:tcPr>
            <w:tcW w:w="1849" w:type="dxa"/>
          </w:tcPr>
          <w:p w:rsidR="00232A97" w:rsidRPr="0012756B" w:rsidRDefault="00232A97" w:rsidP="00D47DAC">
            <w:pPr>
              <w:jc w:val="center"/>
              <w:rPr>
                <w:rFonts w:ascii="Arial" w:hAnsi="Arial" w:cs="Arial"/>
                <w:b/>
              </w:rPr>
            </w:pPr>
            <w:r>
              <w:rPr>
                <w:rFonts w:ascii="Arial" w:hAnsi="Arial" w:cs="Arial"/>
                <w:b/>
              </w:rPr>
              <w:t>Monthly</w:t>
            </w:r>
          </w:p>
        </w:tc>
      </w:tr>
      <w:tr w:rsidR="00232A97" w:rsidTr="00D47DAC">
        <w:tc>
          <w:tcPr>
            <w:tcW w:w="1848" w:type="dxa"/>
          </w:tcPr>
          <w:p w:rsidR="00232A97" w:rsidRPr="0012756B" w:rsidRDefault="00232A97" w:rsidP="00D47DAC">
            <w:pPr>
              <w:rPr>
                <w:rFonts w:ascii="Arial" w:hAnsi="Arial" w:cs="Arial"/>
                <w:b/>
              </w:rPr>
            </w:pPr>
            <w:r>
              <w:rPr>
                <w:rFonts w:ascii="Arial" w:hAnsi="Arial" w:cs="Arial"/>
                <w:b/>
              </w:rPr>
              <w:t>Bronze</w:t>
            </w:r>
          </w:p>
        </w:tc>
        <w:tc>
          <w:tcPr>
            <w:tcW w:w="1848" w:type="dxa"/>
          </w:tcPr>
          <w:p w:rsidR="00232A97" w:rsidRDefault="00232A97" w:rsidP="00D47DAC">
            <w:pPr>
              <w:jc w:val="center"/>
              <w:rPr>
                <w:rFonts w:ascii="Arial" w:hAnsi="Arial" w:cs="Arial"/>
              </w:rPr>
            </w:pPr>
            <w:r>
              <w:rPr>
                <w:rFonts w:ascii="Arial" w:hAnsi="Arial" w:cs="Arial"/>
              </w:rPr>
              <w:t>£155</w:t>
            </w:r>
          </w:p>
        </w:tc>
        <w:tc>
          <w:tcPr>
            <w:tcW w:w="1848" w:type="dxa"/>
          </w:tcPr>
          <w:p w:rsidR="00232A97" w:rsidRDefault="00232A97" w:rsidP="00D47DAC">
            <w:pPr>
              <w:jc w:val="center"/>
              <w:rPr>
                <w:rFonts w:ascii="Arial" w:hAnsi="Arial" w:cs="Arial"/>
              </w:rPr>
            </w:pPr>
            <w:r>
              <w:rPr>
                <w:rFonts w:ascii="Arial" w:hAnsi="Arial" w:cs="Arial"/>
              </w:rPr>
              <w:t>£162</w:t>
            </w:r>
          </w:p>
        </w:tc>
        <w:tc>
          <w:tcPr>
            <w:tcW w:w="1849" w:type="dxa"/>
          </w:tcPr>
          <w:p w:rsidR="00232A97" w:rsidRDefault="00232A97" w:rsidP="00D47DAC">
            <w:pPr>
              <w:jc w:val="center"/>
              <w:rPr>
                <w:rFonts w:ascii="Arial" w:hAnsi="Arial" w:cs="Arial"/>
              </w:rPr>
            </w:pPr>
            <w:r>
              <w:rPr>
                <w:rFonts w:ascii="Arial" w:hAnsi="Arial" w:cs="Arial"/>
              </w:rPr>
              <w:t>4.5%</w:t>
            </w:r>
          </w:p>
        </w:tc>
        <w:tc>
          <w:tcPr>
            <w:tcW w:w="1849" w:type="dxa"/>
          </w:tcPr>
          <w:p w:rsidR="00232A97" w:rsidRDefault="00232A97" w:rsidP="00D47DAC">
            <w:pPr>
              <w:jc w:val="center"/>
              <w:rPr>
                <w:rFonts w:ascii="Arial" w:hAnsi="Arial" w:cs="Arial"/>
              </w:rPr>
            </w:pPr>
            <w:r>
              <w:rPr>
                <w:rFonts w:ascii="Arial" w:hAnsi="Arial" w:cs="Arial"/>
              </w:rPr>
              <w:t>£13.50</w:t>
            </w:r>
          </w:p>
        </w:tc>
      </w:tr>
      <w:tr w:rsidR="00232A97" w:rsidTr="00D47DAC">
        <w:tc>
          <w:tcPr>
            <w:tcW w:w="1848" w:type="dxa"/>
          </w:tcPr>
          <w:p w:rsidR="00232A97" w:rsidRPr="0012756B" w:rsidRDefault="00232A97" w:rsidP="00D47DAC">
            <w:pPr>
              <w:rPr>
                <w:rFonts w:ascii="Arial" w:hAnsi="Arial" w:cs="Arial"/>
                <w:b/>
              </w:rPr>
            </w:pPr>
            <w:r>
              <w:rPr>
                <w:rFonts w:ascii="Arial" w:hAnsi="Arial" w:cs="Arial"/>
                <w:b/>
              </w:rPr>
              <w:t>Silver</w:t>
            </w:r>
          </w:p>
        </w:tc>
        <w:tc>
          <w:tcPr>
            <w:tcW w:w="1848" w:type="dxa"/>
          </w:tcPr>
          <w:p w:rsidR="00232A97" w:rsidRDefault="00232A97" w:rsidP="00D47DAC">
            <w:pPr>
              <w:jc w:val="center"/>
              <w:rPr>
                <w:rFonts w:ascii="Arial" w:hAnsi="Arial" w:cs="Arial"/>
              </w:rPr>
            </w:pPr>
            <w:r>
              <w:rPr>
                <w:rFonts w:ascii="Arial" w:hAnsi="Arial" w:cs="Arial"/>
              </w:rPr>
              <w:t>£265</w:t>
            </w:r>
          </w:p>
        </w:tc>
        <w:tc>
          <w:tcPr>
            <w:tcW w:w="1848" w:type="dxa"/>
          </w:tcPr>
          <w:p w:rsidR="00232A97" w:rsidRDefault="00232A97" w:rsidP="00D47DAC">
            <w:pPr>
              <w:jc w:val="center"/>
              <w:rPr>
                <w:rFonts w:ascii="Arial" w:hAnsi="Arial" w:cs="Arial"/>
              </w:rPr>
            </w:pPr>
            <w:r>
              <w:rPr>
                <w:rFonts w:ascii="Arial" w:hAnsi="Arial" w:cs="Arial"/>
              </w:rPr>
              <w:t>£276</w:t>
            </w:r>
          </w:p>
        </w:tc>
        <w:tc>
          <w:tcPr>
            <w:tcW w:w="1849" w:type="dxa"/>
          </w:tcPr>
          <w:p w:rsidR="00232A97" w:rsidRDefault="00232A97" w:rsidP="00D47DAC">
            <w:pPr>
              <w:jc w:val="center"/>
              <w:rPr>
                <w:rFonts w:ascii="Arial" w:hAnsi="Arial" w:cs="Arial"/>
              </w:rPr>
            </w:pPr>
            <w:r>
              <w:rPr>
                <w:rFonts w:ascii="Arial" w:hAnsi="Arial" w:cs="Arial"/>
              </w:rPr>
              <w:t>4.2%</w:t>
            </w:r>
          </w:p>
        </w:tc>
        <w:tc>
          <w:tcPr>
            <w:tcW w:w="1849" w:type="dxa"/>
          </w:tcPr>
          <w:p w:rsidR="00232A97" w:rsidRDefault="00232A97" w:rsidP="00D47DAC">
            <w:pPr>
              <w:jc w:val="center"/>
              <w:rPr>
                <w:rFonts w:ascii="Arial" w:hAnsi="Arial" w:cs="Arial"/>
              </w:rPr>
            </w:pPr>
            <w:r>
              <w:rPr>
                <w:rFonts w:ascii="Arial" w:hAnsi="Arial" w:cs="Arial"/>
              </w:rPr>
              <w:t>£23.00</w:t>
            </w:r>
          </w:p>
        </w:tc>
      </w:tr>
      <w:tr w:rsidR="00232A97" w:rsidTr="00D47DAC">
        <w:tc>
          <w:tcPr>
            <w:tcW w:w="1848" w:type="dxa"/>
          </w:tcPr>
          <w:p w:rsidR="00232A97" w:rsidRPr="0012756B" w:rsidRDefault="00232A97" w:rsidP="00D47DAC">
            <w:pPr>
              <w:rPr>
                <w:rFonts w:ascii="Arial" w:hAnsi="Arial" w:cs="Arial"/>
                <w:b/>
              </w:rPr>
            </w:pPr>
            <w:r>
              <w:rPr>
                <w:rFonts w:ascii="Arial" w:hAnsi="Arial" w:cs="Arial"/>
                <w:b/>
              </w:rPr>
              <w:t>Gold</w:t>
            </w:r>
          </w:p>
        </w:tc>
        <w:tc>
          <w:tcPr>
            <w:tcW w:w="1848" w:type="dxa"/>
          </w:tcPr>
          <w:p w:rsidR="00232A97" w:rsidRDefault="00232A97" w:rsidP="00D47DAC">
            <w:pPr>
              <w:jc w:val="center"/>
              <w:rPr>
                <w:rFonts w:ascii="Arial" w:hAnsi="Arial" w:cs="Arial"/>
              </w:rPr>
            </w:pPr>
            <w:r>
              <w:rPr>
                <w:rFonts w:ascii="Arial" w:hAnsi="Arial" w:cs="Arial"/>
              </w:rPr>
              <w:t>£335</w:t>
            </w:r>
          </w:p>
        </w:tc>
        <w:tc>
          <w:tcPr>
            <w:tcW w:w="1848" w:type="dxa"/>
          </w:tcPr>
          <w:p w:rsidR="00232A97" w:rsidRDefault="00232A97" w:rsidP="00D47DAC">
            <w:pPr>
              <w:jc w:val="center"/>
              <w:rPr>
                <w:rFonts w:ascii="Arial" w:hAnsi="Arial" w:cs="Arial"/>
              </w:rPr>
            </w:pPr>
            <w:r>
              <w:rPr>
                <w:rFonts w:ascii="Arial" w:hAnsi="Arial" w:cs="Arial"/>
              </w:rPr>
              <w:t>£348</w:t>
            </w:r>
          </w:p>
        </w:tc>
        <w:tc>
          <w:tcPr>
            <w:tcW w:w="1849" w:type="dxa"/>
          </w:tcPr>
          <w:p w:rsidR="00232A97" w:rsidRDefault="00232A97" w:rsidP="00D47DAC">
            <w:pPr>
              <w:jc w:val="center"/>
              <w:rPr>
                <w:rFonts w:ascii="Arial" w:hAnsi="Arial" w:cs="Arial"/>
              </w:rPr>
            </w:pPr>
            <w:r>
              <w:rPr>
                <w:rFonts w:ascii="Arial" w:hAnsi="Arial" w:cs="Arial"/>
              </w:rPr>
              <w:t>3.9%</w:t>
            </w:r>
          </w:p>
        </w:tc>
        <w:tc>
          <w:tcPr>
            <w:tcW w:w="1849" w:type="dxa"/>
          </w:tcPr>
          <w:p w:rsidR="00232A97" w:rsidRDefault="00232A97" w:rsidP="00D47DAC">
            <w:pPr>
              <w:jc w:val="center"/>
              <w:rPr>
                <w:rFonts w:ascii="Arial" w:hAnsi="Arial" w:cs="Arial"/>
              </w:rPr>
            </w:pPr>
            <w:r>
              <w:rPr>
                <w:rFonts w:ascii="Arial" w:hAnsi="Arial" w:cs="Arial"/>
              </w:rPr>
              <w:t>£29.00</w:t>
            </w:r>
          </w:p>
        </w:tc>
      </w:tr>
    </w:tbl>
    <w:p w:rsidR="00232A97" w:rsidRDefault="00232A97" w:rsidP="00232A97">
      <w:pPr>
        <w:rPr>
          <w:rFonts w:ascii="Arial" w:hAnsi="Arial" w:cs="Arial"/>
          <w:b/>
        </w:rPr>
      </w:pPr>
    </w:p>
    <w:p w:rsidR="00176C63" w:rsidRDefault="00232A97" w:rsidP="00877759">
      <w:pPr>
        <w:jc w:val="both"/>
        <w:rPr>
          <w:rFonts w:ascii="Arial" w:hAnsi="Arial" w:cs="Arial"/>
        </w:rPr>
      </w:pPr>
      <w:r>
        <w:rPr>
          <w:rFonts w:ascii="Arial" w:hAnsi="Arial" w:cs="Arial"/>
        </w:rPr>
        <w:t xml:space="preserve">The </w:t>
      </w:r>
      <w:r w:rsidR="006567AF">
        <w:rPr>
          <w:rFonts w:ascii="Arial" w:hAnsi="Arial" w:cs="Arial"/>
        </w:rPr>
        <w:t xml:space="preserve">proposed </w:t>
      </w:r>
      <w:r>
        <w:rPr>
          <w:rFonts w:ascii="Arial" w:hAnsi="Arial" w:cs="Arial"/>
        </w:rPr>
        <w:t>Student and Staf</w:t>
      </w:r>
      <w:r w:rsidR="006567AF">
        <w:rPr>
          <w:rFonts w:ascii="Arial" w:hAnsi="Arial" w:cs="Arial"/>
        </w:rPr>
        <w:t>f price increases</w:t>
      </w:r>
      <w:r>
        <w:rPr>
          <w:rFonts w:ascii="Arial" w:hAnsi="Arial" w:cs="Arial"/>
        </w:rPr>
        <w:t xml:space="preserve"> </w:t>
      </w:r>
      <w:r w:rsidR="006567AF">
        <w:rPr>
          <w:rFonts w:ascii="Arial" w:hAnsi="Arial" w:cs="Arial"/>
        </w:rPr>
        <w:t>are in line with</w:t>
      </w:r>
      <w:r>
        <w:rPr>
          <w:rFonts w:ascii="Arial" w:hAnsi="Arial" w:cs="Arial"/>
        </w:rPr>
        <w:t xml:space="preserve"> RPI. The latest RPI figure is 3.3% (January 2013).</w:t>
      </w:r>
      <w:r w:rsidR="00176C63">
        <w:rPr>
          <w:rFonts w:ascii="Arial" w:hAnsi="Arial" w:cs="Arial"/>
        </w:rPr>
        <w:t xml:space="preserve"> Following consultation with the Students Union, it is proposed that there is no increase to the Student Bronze Category. </w:t>
      </w:r>
      <w:r w:rsidR="001E5E77">
        <w:rPr>
          <w:rFonts w:ascii="Arial" w:hAnsi="Arial" w:cs="Arial"/>
        </w:rPr>
        <w:t>As j</w:t>
      </w:r>
      <w:r w:rsidR="00176C63">
        <w:rPr>
          <w:rFonts w:ascii="Arial" w:hAnsi="Arial" w:cs="Arial"/>
        </w:rPr>
        <w:t>oining Sport</w:t>
      </w:r>
      <w:r w:rsidR="001E5E77">
        <w:rPr>
          <w:rFonts w:ascii="Arial" w:hAnsi="Arial" w:cs="Arial"/>
        </w:rPr>
        <w:t>s Federation membership requires</w:t>
      </w:r>
      <w:r w:rsidR="00176C63">
        <w:rPr>
          <w:rFonts w:ascii="Arial" w:hAnsi="Arial" w:cs="Arial"/>
        </w:rPr>
        <w:t xml:space="preserve"> sign up to a minimum of </w:t>
      </w:r>
      <w:r w:rsidR="00CF02DA">
        <w:rPr>
          <w:rFonts w:ascii="Arial" w:hAnsi="Arial" w:cs="Arial"/>
        </w:rPr>
        <w:t xml:space="preserve">a </w:t>
      </w:r>
      <w:r w:rsidR="00176C63">
        <w:rPr>
          <w:rFonts w:ascii="Arial" w:hAnsi="Arial" w:cs="Arial"/>
        </w:rPr>
        <w:t>Bronze Passport</w:t>
      </w:r>
      <w:r w:rsidR="001E5E77">
        <w:rPr>
          <w:rFonts w:ascii="Arial" w:hAnsi="Arial" w:cs="Arial"/>
        </w:rPr>
        <w:t xml:space="preserve"> to Sport, i</w:t>
      </w:r>
      <w:r w:rsidR="00CF02DA">
        <w:rPr>
          <w:rFonts w:ascii="Arial" w:hAnsi="Arial" w:cs="Arial"/>
        </w:rPr>
        <w:t>t would be</w:t>
      </w:r>
      <w:r w:rsidR="001E5E77">
        <w:rPr>
          <w:rFonts w:ascii="Arial" w:hAnsi="Arial" w:cs="Arial"/>
        </w:rPr>
        <w:t xml:space="preserve"> well received by the student body if we are able to retain</w:t>
      </w:r>
      <w:r w:rsidR="00CF02DA">
        <w:rPr>
          <w:rFonts w:ascii="Arial" w:hAnsi="Arial" w:cs="Arial"/>
        </w:rPr>
        <w:t xml:space="preserve"> the current price for the small number of students signing up to this category.</w:t>
      </w:r>
      <w:r w:rsidR="00176C63">
        <w:rPr>
          <w:rFonts w:ascii="Arial" w:hAnsi="Arial" w:cs="Arial"/>
        </w:rPr>
        <w:t xml:space="preserve"> </w:t>
      </w:r>
    </w:p>
    <w:p w:rsidR="00232A97" w:rsidRDefault="00232A97" w:rsidP="00877759">
      <w:pPr>
        <w:jc w:val="both"/>
        <w:rPr>
          <w:rFonts w:ascii="Arial" w:hAnsi="Arial" w:cs="Arial"/>
        </w:rPr>
      </w:pPr>
      <w:r>
        <w:rPr>
          <w:rFonts w:ascii="Arial" w:hAnsi="Arial" w:cs="Arial"/>
        </w:rPr>
        <w:t>Staff and Public prices have been set to be clearly divisible by 12, in order that they can be marketed at monthly prices, as the majority of members from these groups pay by monthly direct debit.</w:t>
      </w:r>
    </w:p>
    <w:p w:rsidR="00232A97" w:rsidRDefault="006567AF" w:rsidP="00877759">
      <w:pPr>
        <w:jc w:val="both"/>
        <w:rPr>
          <w:rFonts w:ascii="Arial" w:hAnsi="Arial" w:cs="Arial"/>
        </w:rPr>
      </w:pPr>
      <w:r>
        <w:rPr>
          <w:rFonts w:ascii="Arial" w:hAnsi="Arial" w:cs="Arial"/>
        </w:rPr>
        <w:t xml:space="preserve">Proposed increases to </w:t>
      </w:r>
      <w:r w:rsidR="00232A97">
        <w:rPr>
          <w:rFonts w:ascii="Arial" w:hAnsi="Arial" w:cs="Arial"/>
        </w:rPr>
        <w:t>Public pri</w:t>
      </w:r>
      <w:r>
        <w:rPr>
          <w:rFonts w:ascii="Arial" w:hAnsi="Arial" w:cs="Arial"/>
        </w:rPr>
        <w:t>ces are</w:t>
      </w:r>
      <w:r w:rsidR="00EF3106">
        <w:rPr>
          <w:rFonts w:ascii="Arial" w:hAnsi="Arial" w:cs="Arial"/>
        </w:rPr>
        <w:t xml:space="preserve"> marginally</w:t>
      </w:r>
      <w:r w:rsidR="00232A97">
        <w:rPr>
          <w:rFonts w:ascii="Arial" w:hAnsi="Arial" w:cs="Arial"/>
        </w:rPr>
        <w:t xml:space="preserve"> above RPI</w:t>
      </w:r>
      <w:r>
        <w:rPr>
          <w:rFonts w:ascii="Arial" w:hAnsi="Arial" w:cs="Arial"/>
        </w:rPr>
        <w:t>, but still represent</w:t>
      </w:r>
      <w:r w:rsidR="00EF3106">
        <w:rPr>
          <w:rFonts w:ascii="Arial" w:hAnsi="Arial" w:cs="Arial"/>
        </w:rPr>
        <w:t xml:space="preserve"> excellent value for money in comparison to competitor venues.</w:t>
      </w:r>
    </w:p>
    <w:p w:rsidR="00EF3106" w:rsidRDefault="00EF3106" w:rsidP="00232A97">
      <w:pPr>
        <w:rPr>
          <w:rFonts w:ascii="Arial" w:hAnsi="Arial" w:cs="Arial"/>
        </w:rPr>
      </w:pPr>
    </w:p>
    <w:p w:rsidR="00EF3106" w:rsidRDefault="00EF3106" w:rsidP="00232A97">
      <w:pPr>
        <w:rPr>
          <w:rFonts w:ascii="Arial" w:hAnsi="Arial" w:cs="Arial"/>
          <w:b/>
          <w:sz w:val="26"/>
          <w:szCs w:val="26"/>
        </w:rPr>
      </w:pPr>
      <w:r>
        <w:rPr>
          <w:rFonts w:ascii="Arial" w:hAnsi="Arial" w:cs="Arial"/>
          <w:b/>
          <w:sz w:val="26"/>
          <w:szCs w:val="26"/>
        </w:rPr>
        <w:t>Southend</w:t>
      </w:r>
    </w:p>
    <w:p w:rsidR="00EF3106" w:rsidRDefault="00EF3106" w:rsidP="00232A97">
      <w:pPr>
        <w:rPr>
          <w:rFonts w:ascii="Arial" w:hAnsi="Arial" w:cs="Arial"/>
        </w:rPr>
      </w:pPr>
    </w:p>
    <w:p w:rsidR="00EF3106" w:rsidRDefault="00EF3106" w:rsidP="00877759">
      <w:pPr>
        <w:jc w:val="both"/>
        <w:rPr>
          <w:rFonts w:ascii="Arial" w:hAnsi="Arial" w:cs="Arial"/>
        </w:rPr>
      </w:pPr>
      <w:r>
        <w:rPr>
          <w:rFonts w:ascii="Arial" w:hAnsi="Arial" w:cs="Arial"/>
        </w:rPr>
        <w:t xml:space="preserve">It is proposed that prices are not increased at Southend Evolve </w:t>
      </w:r>
      <w:r w:rsidR="006567AF">
        <w:rPr>
          <w:rFonts w:ascii="Arial" w:hAnsi="Arial" w:cs="Arial"/>
        </w:rPr>
        <w:t>this year</w:t>
      </w:r>
      <w:r w:rsidR="009B2730">
        <w:rPr>
          <w:rFonts w:ascii="Arial" w:hAnsi="Arial" w:cs="Arial"/>
        </w:rPr>
        <w:t xml:space="preserve">. Following the opening of a budget led fitness facility located within 100 yards of Evolve, the pricing model was adapted in order to </w:t>
      </w:r>
      <w:r w:rsidR="006567AF">
        <w:rPr>
          <w:rFonts w:ascii="Arial" w:hAnsi="Arial" w:cs="Arial"/>
        </w:rPr>
        <w:t>provide potential</w:t>
      </w:r>
      <w:r w:rsidR="009B2730">
        <w:rPr>
          <w:rFonts w:ascii="Arial" w:hAnsi="Arial" w:cs="Arial"/>
        </w:rPr>
        <w:t xml:space="preserve"> growth towards the original finan</w:t>
      </w:r>
      <w:r w:rsidR="006567AF">
        <w:rPr>
          <w:rFonts w:ascii="Arial" w:hAnsi="Arial" w:cs="Arial"/>
        </w:rPr>
        <w:t xml:space="preserve">cial </w:t>
      </w:r>
      <w:r w:rsidR="001E5E77">
        <w:rPr>
          <w:rFonts w:ascii="Arial" w:hAnsi="Arial" w:cs="Arial"/>
        </w:rPr>
        <w:t>projections. Evolve should</w:t>
      </w:r>
      <w:r w:rsidR="006567AF">
        <w:rPr>
          <w:rFonts w:ascii="Arial" w:hAnsi="Arial" w:cs="Arial"/>
        </w:rPr>
        <w:t xml:space="preserve"> build stability before there can be any further consideration on pricing.</w:t>
      </w:r>
    </w:p>
    <w:p w:rsidR="006567AF" w:rsidRDefault="006567AF" w:rsidP="00232A97">
      <w:pPr>
        <w:rPr>
          <w:rFonts w:ascii="Arial" w:hAnsi="Arial" w:cs="Arial"/>
        </w:rPr>
      </w:pPr>
    </w:p>
    <w:p w:rsidR="006567AF" w:rsidRDefault="006567AF" w:rsidP="00232A97">
      <w:pPr>
        <w:rPr>
          <w:rFonts w:ascii="Arial" w:hAnsi="Arial" w:cs="Arial"/>
        </w:rPr>
      </w:pPr>
      <w:r>
        <w:rPr>
          <w:rFonts w:ascii="Arial" w:hAnsi="Arial" w:cs="Arial"/>
        </w:rPr>
        <w:t>The current prices for Southend Evolve are as follows:</w:t>
      </w:r>
    </w:p>
    <w:tbl>
      <w:tblPr>
        <w:tblStyle w:val="TableGrid"/>
        <w:tblW w:w="0" w:type="auto"/>
        <w:tblLook w:val="04A0"/>
      </w:tblPr>
      <w:tblGrid>
        <w:gridCol w:w="3304"/>
        <w:gridCol w:w="3132"/>
        <w:gridCol w:w="2806"/>
      </w:tblGrid>
      <w:tr w:rsidR="001E5E77" w:rsidTr="001E5E77">
        <w:tc>
          <w:tcPr>
            <w:tcW w:w="3304" w:type="dxa"/>
          </w:tcPr>
          <w:p w:rsidR="001E5E77" w:rsidRDefault="00045A4E" w:rsidP="00232A97">
            <w:pPr>
              <w:rPr>
                <w:rFonts w:ascii="Arial" w:hAnsi="Arial" w:cs="Arial"/>
              </w:rPr>
            </w:pPr>
            <w:r>
              <w:rPr>
                <w:rFonts w:ascii="Arial" w:hAnsi="Arial" w:cs="Arial"/>
              </w:rPr>
              <w:t>Public /</w:t>
            </w:r>
            <w:r w:rsidR="001E5E77">
              <w:rPr>
                <w:rFonts w:ascii="Arial" w:hAnsi="Arial" w:cs="Arial"/>
              </w:rPr>
              <w:t xml:space="preserve"> Staff Peak Member</w:t>
            </w:r>
          </w:p>
        </w:tc>
        <w:tc>
          <w:tcPr>
            <w:tcW w:w="3132" w:type="dxa"/>
          </w:tcPr>
          <w:p w:rsidR="001E5E77" w:rsidRDefault="001E5E77" w:rsidP="006567AF">
            <w:pPr>
              <w:jc w:val="center"/>
              <w:rPr>
                <w:rFonts w:ascii="Arial" w:hAnsi="Arial" w:cs="Arial"/>
              </w:rPr>
            </w:pPr>
            <w:r>
              <w:rPr>
                <w:rFonts w:ascii="Arial" w:hAnsi="Arial" w:cs="Arial"/>
              </w:rPr>
              <w:t>£180</w:t>
            </w:r>
          </w:p>
        </w:tc>
        <w:tc>
          <w:tcPr>
            <w:tcW w:w="2806" w:type="dxa"/>
          </w:tcPr>
          <w:p w:rsidR="001E5E77" w:rsidRDefault="001E5E77" w:rsidP="006567AF">
            <w:pPr>
              <w:jc w:val="center"/>
              <w:rPr>
                <w:rFonts w:ascii="Arial" w:hAnsi="Arial" w:cs="Arial"/>
              </w:rPr>
            </w:pPr>
            <w:r>
              <w:rPr>
                <w:rFonts w:ascii="Arial" w:hAnsi="Arial" w:cs="Arial"/>
              </w:rPr>
              <w:t>£15 monthly</w:t>
            </w:r>
          </w:p>
        </w:tc>
      </w:tr>
      <w:tr w:rsidR="001E5E77" w:rsidTr="001E5E77">
        <w:tc>
          <w:tcPr>
            <w:tcW w:w="3304" w:type="dxa"/>
          </w:tcPr>
          <w:p w:rsidR="001E5E77" w:rsidRDefault="00045A4E" w:rsidP="00232A97">
            <w:pPr>
              <w:rPr>
                <w:rFonts w:ascii="Arial" w:hAnsi="Arial" w:cs="Arial"/>
              </w:rPr>
            </w:pPr>
            <w:r>
              <w:rPr>
                <w:rFonts w:ascii="Arial" w:hAnsi="Arial" w:cs="Arial"/>
              </w:rPr>
              <w:t>Public /</w:t>
            </w:r>
            <w:r w:rsidR="001E5E77">
              <w:rPr>
                <w:rFonts w:ascii="Arial" w:hAnsi="Arial" w:cs="Arial"/>
              </w:rPr>
              <w:t xml:space="preserve"> Staff Off Peak Member</w:t>
            </w:r>
          </w:p>
        </w:tc>
        <w:tc>
          <w:tcPr>
            <w:tcW w:w="3132" w:type="dxa"/>
          </w:tcPr>
          <w:p w:rsidR="001E5E77" w:rsidRDefault="001E5E77" w:rsidP="006567AF">
            <w:pPr>
              <w:jc w:val="center"/>
              <w:rPr>
                <w:rFonts w:ascii="Arial" w:hAnsi="Arial" w:cs="Arial"/>
              </w:rPr>
            </w:pPr>
            <w:r>
              <w:rPr>
                <w:rFonts w:ascii="Arial" w:hAnsi="Arial" w:cs="Arial"/>
              </w:rPr>
              <w:t>£150</w:t>
            </w:r>
          </w:p>
        </w:tc>
        <w:tc>
          <w:tcPr>
            <w:tcW w:w="2806" w:type="dxa"/>
          </w:tcPr>
          <w:p w:rsidR="001E5E77" w:rsidRDefault="001E5E77" w:rsidP="006567AF">
            <w:pPr>
              <w:jc w:val="center"/>
              <w:rPr>
                <w:rFonts w:ascii="Arial" w:hAnsi="Arial" w:cs="Arial"/>
              </w:rPr>
            </w:pPr>
            <w:r>
              <w:rPr>
                <w:rFonts w:ascii="Arial" w:hAnsi="Arial" w:cs="Arial"/>
              </w:rPr>
              <w:t>£12.50 monthly</w:t>
            </w:r>
          </w:p>
        </w:tc>
      </w:tr>
      <w:tr w:rsidR="001E5E77" w:rsidTr="001E5E77">
        <w:tc>
          <w:tcPr>
            <w:tcW w:w="3304" w:type="dxa"/>
          </w:tcPr>
          <w:p w:rsidR="001E5E77" w:rsidRDefault="001E5E77" w:rsidP="00232A97">
            <w:pPr>
              <w:rPr>
                <w:rFonts w:ascii="Arial" w:hAnsi="Arial" w:cs="Arial"/>
              </w:rPr>
            </w:pPr>
            <w:r>
              <w:rPr>
                <w:rFonts w:ascii="Arial" w:hAnsi="Arial" w:cs="Arial"/>
              </w:rPr>
              <w:t>Student Member</w:t>
            </w:r>
          </w:p>
        </w:tc>
        <w:tc>
          <w:tcPr>
            <w:tcW w:w="3132" w:type="dxa"/>
          </w:tcPr>
          <w:p w:rsidR="001E5E77" w:rsidRDefault="001E5E77" w:rsidP="006567AF">
            <w:pPr>
              <w:jc w:val="center"/>
              <w:rPr>
                <w:rFonts w:ascii="Arial" w:hAnsi="Arial" w:cs="Arial"/>
              </w:rPr>
            </w:pPr>
            <w:r>
              <w:rPr>
                <w:rFonts w:ascii="Arial" w:hAnsi="Arial" w:cs="Arial"/>
              </w:rPr>
              <w:t>£112.50</w:t>
            </w:r>
          </w:p>
        </w:tc>
        <w:tc>
          <w:tcPr>
            <w:tcW w:w="2806" w:type="dxa"/>
          </w:tcPr>
          <w:p w:rsidR="001E5E77" w:rsidRDefault="001E5E77" w:rsidP="006567AF">
            <w:pPr>
              <w:jc w:val="center"/>
              <w:rPr>
                <w:rFonts w:ascii="Arial" w:hAnsi="Arial" w:cs="Arial"/>
              </w:rPr>
            </w:pPr>
            <w:r>
              <w:rPr>
                <w:rFonts w:ascii="Arial" w:hAnsi="Arial" w:cs="Arial"/>
              </w:rPr>
              <w:t xml:space="preserve">£37.50 </w:t>
            </w:r>
            <w:r w:rsidR="00045A4E">
              <w:rPr>
                <w:rFonts w:ascii="Arial" w:hAnsi="Arial" w:cs="Arial"/>
              </w:rPr>
              <w:t>per term</w:t>
            </w:r>
          </w:p>
        </w:tc>
      </w:tr>
    </w:tbl>
    <w:p w:rsidR="006567AF" w:rsidRPr="00EF3106" w:rsidRDefault="006567AF" w:rsidP="00232A97">
      <w:pPr>
        <w:rPr>
          <w:rFonts w:ascii="Arial" w:hAnsi="Arial" w:cs="Arial"/>
        </w:rPr>
      </w:pPr>
    </w:p>
    <w:sectPr w:rsidR="006567AF" w:rsidRPr="00EF3106" w:rsidSect="00B26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5A0"/>
    <w:multiLevelType w:val="hybridMultilevel"/>
    <w:tmpl w:val="D7FC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2FF"/>
    <w:rsid w:val="00045A4E"/>
    <w:rsid w:val="000B45F2"/>
    <w:rsid w:val="0012756B"/>
    <w:rsid w:val="00176C63"/>
    <w:rsid w:val="001E5E77"/>
    <w:rsid w:val="00232A97"/>
    <w:rsid w:val="00372AB7"/>
    <w:rsid w:val="0050120D"/>
    <w:rsid w:val="006567AF"/>
    <w:rsid w:val="00822D80"/>
    <w:rsid w:val="00877759"/>
    <w:rsid w:val="00951D1D"/>
    <w:rsid w:val="009802FF"/>
    <w:rsid w:val="009B2730"/>
    <w:rsid w:val="009C3A47"/>
    <w:rsid w:val="00B269F5"/>
    <w:rsid w:val="00CB2B94"/>
    <w:rsid w:val="00CF02DA"/>
    <w:rsid w:val="00DF5A32"/>
    <w:rsid w:val="00EF31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dc:creator>
  <cp:lastModifiedBy>cold</cp:lastModifiedBy>
  <cp:revision>2</cp:revision>
  <cp:lastPrinted>2013-02-27T20:12:00Z</cp:lastPrinted>
  <dcterms:created xsi:type="dcterms:W3CDTF">2013-02-27T20:14:00Z</dcterms:created>
  <dcterms:modified xsi:type="dcterms:W3CDTF">2013-02-27T20:14:00Z</dcterms:modified>
</cp:coreProperties>
</file>