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069" w:rsidRPr="00CE256A" w:rsidRDefault="00CE256A" w:rsidP="004624EC">
      <w:pPr>
        <w:jc w:val="center"/>
        <w:rPr>
          <w:rFonts w:ascii="Arial" w:hAnsi="Arial" w:cs="Arial"/>
          <w:b/>
          <w:sz w:val="40"/>
          <w:szCs w:val="40"/>
        </w:rPr>
      </w:pPr>
      <w:r w:rsidRPr="00CE256A">
        <w:rPr>
          <w:rFonts w:ascii="Arial" w:hAnsi="Arial" w:cs="Arial"/>
          <w:b/>
          <w:sz w:val="40"/>
          <w:szCs w:val="40"/>
        </w:rPr>
        <w:t>USG Paper</w:t>
      </w:r>
    </w:p>
    <w:p w:rsidR="002B7A92" w:rsidRPr="00554570" w:rsidRDefault="00CE256A" w:rsidP="004624EC">
      <w:pPr>
        <w:jc w:val="center"/>
        <w:rPr>
          <w:rFonts w:ascii="Arial" w:hAnsi="Arial" w:cs="Arial"/>
          <w:b/>
          <w:sz w:val="36"/>
          <w:szCs w:val="36"/>
        </w:rPr>
      </w:pPr>
      <w:r>
        <w:rPr>
          <w:rFonts w:ascii="Arial" w:hAnsi="Arial" w:cs="Arial"/>
          <w:b/>
          <w:sz w:val="36"/>
          <w:szCs w:val="36"/>
        </w:rPr>
        <w:t xml:space="preserve">Accommodation Essex – </w:t>
      </w:r>
      <w:r w:rsidR="00554570" w:rsidRPr="00554570">
        <w:rPr>
          <w:rFonts w:ascii="Arial" w:hAnsi="Arial" w:cs="Arial"/>
          <w:b/>
          <w:sz w:val="36"/>
          <w:szCs w:val="36"/>
        </w:rPr>
        <w:t>2013/14</w:t>
      </w:r>
      <w:r>
        <w:rPr>
          <w:rFonts w:ascii="Arial" w:hAnsi="Arial" w:cs="Arial"/>
          <w:b/>
          <w:sz w:val="36"/>
          <w:szCs w:val="36"/>
        </w:rPr>
        <w:t xml:space="preserve"> </w:t>
      </w:r>
      <w:r w:rsidR="00554570" w:rsidRPr="00554570">
        <w:rPr>
          <w:rFonts w:ascii="Arial" w:hAnsi="Arial" w:cs="Arial"/>
          <w:b/>
          <w:sz w:val="36"/>
          <w:szCs w:val="36"/>
        </w:rPr>
        <w:t>Rents</w:t>
      </w:r>
    </w:p>
    <w:p w:rsidR="00A0772C" w:rsidRPr="002455FB" w:rsidRDefault="00A0772C" w:rsidP="00A0772C">
      <w:pPr>
        <w:jc w:val="center"/>
        <w:rPr>
          <w:rFonts w:ascii="Arial" w:hAnsi="Arial" w:cs="Arial"/>
          <w:sz w:val="44"/>
          <w:szCs w:val="44"/>
        </w:rPr>
      </w:pPr>
    </w:p>
    <w:p w:rsidR="004624EC" w:rsidRPr="00554570" w:rsidRDefault="00554570" w:rsidP="004624EC">
      <w:pPr>
        <w:pBdr>
          <w:top w:val="single" w:sz="4" w:space="1" w:color="auto"/>
          <w:left w:val="single" w:sz="4" w:space="4" w:color="auto"/>
          <w:bottom w:val="single" w:sz="4" w:space="1" w:color="auto"/>
          <w:right w:val="single" w:sz="4" w:space="4" w:color="auto"/>
        </w:pBdr>
        <w:jc w:val="both"/>
        <w:rPr>
          <w:rFonts w:ascii="Arial" w:hAnsi="Arial" w:cs="Arial"/>
          <w:b/>
          <w:sz w:val="28"/>
          <w:szCs w:val="28"/>
        </w:rPr>
      </w:pPr>
      <w:r w:rsidRPr="00554570">
        <w:rPr>
          <w:rFonts w:ascii="Arial" w:hAnsi="Arial" w:cs="Arial"/>
          <w:b/>
          <w:sz w:val="28"/>
          <w:szCs w:val="28"/>
        </w:rPr>
        <w:t xml:space="preserve">1. </w:t>
      </w:r>
      <w:r w:rsidR="004624EC" w:rsidRPr="00554570">
        <w:rPr>
          <w:rFonts w:ascii="Arial" w:hAnsi="Arial" w:cs="Arial"/>
          <w:b/>
          <w:sz w:val="28"/>
          <w:szCs w:val="28"/>
        </w:rPr>
        <w:t>Executive Summary</w:t>
      </w:r>
    </w:p>
    <w:p w:rsidR="00A34FA0" w:rsidRDefault="004624EC" w:rsidP="004624EC">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 xml:space="preserve">USG is requested to approve the </w:t>
      </w:r>
      <w:r w:rsidR="00554570">
        <w:rPr>
          <w:rFonts w:ascii="Arial" w:hAnsi="Arial" w:cs="Arial"/>
        </w:rPr>
        <w:t>following rent increases for the 2013/14 academic year:</w:t>
      </w:r>
    </w:p>
    <w:p w:rsidR="00554570" w:rsidRDefault="00554570" w:rsidP="004624EC">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ab/>
        <w:t xml:space="preserve">5%  </w:t>
      </w:r>
      <w:r>
        <w:rPr>
          <w:rFonts w:ascii="Arial" w:hAnsi="Arial" w:cs="Arial"/>
        </w:rPr>
        <w:tab/>
        <w:t>South Courts, Houses &amp; Wolfson Court</w:t>
      </w:r>
    </w:p>
    <w:p w:rsidR="00554570" w:rsidRDefault="00554570" w:rsidP="004624EC">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ab/>
        <w:t>4%</w:t>
      </w:r>
      <w:r>
        <w:rPr>
          <w:rFonts w:ascii="Arial" w:hAnsi="Arial" w:cs="Arial"/>
        </w:rPr>
        <w:tab/>
        <w:t>University Quays</w:t>
      </w:r>
    </w:p>
    <w:p w:rsidR="00554570" w:rsidRDefault="00554570" w:rsidP="004624EC">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ab/>
        <w:t>3%</w:t>
      </w:r>
      <w:r>
        <w:rPr>
          <w:rFonts w:ascii="Arial" w:hAnsi="Arial" w:cs="Arial"/>
        </w:rPr>
        <w:tab/>
        <w:t>Towers</w:t>
      </w:r>
    </w:p>
    <w:p w:rsidR="00554570" w:rsidRDefault="00554570" w:rsidP="004624EC">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ab/>
        <w:t>4%</w:t>
      </w:r>
      <w:r>
        <w:rPr>
          <w:rFonts w:ascii="Arial" w:hAnsi="Arial" w:cs="Arial"/>
        </w:rPr>
        <w:tab/>
        <w:t>University Square, Southend</w:t>
      </w:r>
    </w:p>
    <w:p w:rsidR="00554570" w:rsidRDefault="00554570" w:rsidP="004624EC">
      <w:pPr>
        <w:pBdr>
          <w:top w:val="single" w:sz="4" w:space="1" w:color="auto"/>
          <w:left w:val="single" w:sz="4" w:space="4" w:color="auto"/>
          <w:bottom w:val="single" w:sz="4" w:space="1" w:color="auto"/>
          <w:right w:val="single" w:sz="4" w:space="4" w:color="auto"/>
        </w:pBdr>
        <w:jc w:val="both"/>
        <w:rPr>
          <w:rFonts w:ascii="Arial" w:hAnsi="Arial" w:cs="Arial"/>
        </w:rPr>
      </w:pPr>
    </w:p>
    <w:p w:rsidR="00A0772C" w:rsidRPr="002455FB" w:rsidRDefault="00A0772C" w:rsidP="004624EC">
      <w:pPr>
        <w:jc w:val="both"/>
        <w:rPr>
          <w:rFonts w:ascii="Arial" w:hAnsi="Arial" w:cs="Arial"/>
          <w:b/>
          <w:sz w:val="40"/>
          <w:szCs w:val="40"/>
        </w:rPr>
      </w:pPr>
    </w:p>
    <w:p w:rsidR="004624EC" w:rsidRDefault="00554570" w:rsidP="004624EC">
      <w:pPr>
        <w:jc w:val="both"/>
        <w:rPr>
          <w:rFonts w:ascii="Arial" w:hAnsi="Arial" w:cs="Arial"/>
          <w:b/>
          <w:sz w:val="28"/>
          <w:szCs w:val="28"/>
        </w:rPr>
      </w:pPr>
      <w:r w:rsidRPr="00554570">
        <w:rPr>
          <w:rFonts w:ascii="Arial" w:hAnsi="Arial" w:cs="Arial"/>
          <w:b/>
          <w:sz w:val="28"/>
          <w:szCs w:val="28"/>
        </w:rPr>
        <w:t>2. Colchester</w:t>
      </w:r>
    </w:p>
    <w:p w:rsidR="001C05EA" w:rsidRPr="001C05EA" w:rsidRDefault="001C05EA" w:rsidP="004624EC">
      <w:pPr>
        <w:jc w:val="both"/>
        <w:rPr>
          <w:rFonts w:ascii="Arial" w:hAnsi="Arial" w:cs="Arial"/>
          <w:b/>
          <w:sz w:val="16"/>
          <w:szCs w:val="16"/>
        </w:rPr>
      </w:pPr>
    </w:p>
    <w:p w:rsidR="000703B5" w:rsidRPr="00554570" w:rsidRDefault="00554570" w:rsidP="00554570">
      <w:pPr>
        <w:jc w:val="both"/>
        <w:rPr>
          <w:rFonts w:ascii="Arial" w:hAnsi="Arial" w:cs="Arial"/>
          <w:b/>
          <w:sz w:val="24"/>
          <w:szCs w:val="24"/>
        </w:rPr>
      </w:pPr>
      <w:r w:rsidRPr="00554570">
        <w:rPr>
          <w:rFonts w:ascii="Arial" w:hAnsi="Arial" w:cs="Arial"/>
          <w:b/>
          <w:sz w:val="24"/>
          <w:szCs w:val="24"/>
        </w:rPr>
        <w:t>2.1 Meadows &amp; Quays</w:t>
      </w:r>
    </w:p>
    <w:p w:rsidR="0002706E" w:rsidRDefault="00554570" w:rsidP="00554570">
      <w:pPr>
        <w:jc w:val="both"/>
        <w:rPr>
          <w:rFonts w:ascii="Arial" w:hAnsi="Arial" w:cs="Arial"/>
        </w:rPr>
      </w:pPr>
      <w:r>
        <w:rPr>
          <w:rFonts w:ascii="Arial" w:hAnsi="Arial" w:cs="Arial"/>
        </w:rPr>
        <w:t>2.1.1</w:t>
      </w:r>
      <w:r w:rsidR="0002706E">
        <w:rPr>
          <w:rFonts w:ascii="Arial" w:hAnsi="Arial" w:cs="Arial"/>
        </w:rPr>
        <w:tab/>
        <w:t>The new 648 bedr</w:t>
      </w:r>
      <w:r w:rsidR="004C19A9">
        <w:rPr>
          <w:rFonts w:ascii="Arial" w:hAnsi="Arial" w:cs="Arial"/>
        </w:rPr>
        <w:t>oom residential development at t</w:t>
      </w:r>
      <w:r w:rsidR="0002706E">
        <w:rPr>
          <w:rFonts w:ascii="Arial" w:hAnsi="Arial" w:cs="Arial"/>
        </w:rPr>
        <w:t>he Meadows is scheduled to open for the start of the 2013/14 academic year, with the main contractor Bouygues formally confirming in November 2012 that the building work is on target. Ownership of University Quays also transfers to Uliving, the PFI partner, on 5 July 2013.</w:t>
      </w:r>
    </w:p>
    <w:p w:rsidR="00554570" w:rsidRDefault="0002706E" w:rsidP="00554570">
      <w:pPr>
        <w:jc w:val="both"/>
        <w:rPr>
          <w:rFonts w:ascii="Arial" w:hAnsi="Arial" w:cs="Arial"/>
        </w:rPr>
      </w:pPr>
      <w:r>
        <w:rPr>
          <w:rFonts w:ascii="Arial" w:hAnsi="Arial" w:cs="Arial"/>
        </w:rPr>
        <w:t>2.1.2</w:t>
      </w:r>
      <w:r>
        <w:rPr>
          <w:rFonts w:ascii="Arial" w:hAnsi="Arial" w:cs="Arial"/>
        </w:rPr>
        <w:tab/>
      </w:r>
      <w:r w:rsidR="00554570">
        <w:rPr>
          <w:rFonts w:ascii="Arial" w:hAnsi="Arial" w:cs="Arial"/>
        </w:rPr>
        <w:t xml:space="preserve">The detailed negotiations with Uliving </w:t>
      </w:r>
      <w:r>
        <w:rPr>
          <w:rFonts w:ascii="Arial" w:hAnsi="Arial" w:cs="Arial"/>
        </w:rPr>
        <w:t xml:space="preserve">and Aviva </w:t>
      </w:r>
      <w:r w:rsidR="00554570">
        <w:rPr>
          <w:rFonts w:ascii="Arial" w:hAnsi="Arial" w:cs="Arial"/>
        </w:rPr>
        <w:t xml:space="preserve">were anchored on an agreed rental level for the first 3 years </w:t>
      </w:r>
      <w:r w:rsidR="0015137E">
        <w:rPr>
          <w:rFonts w:ascii="Arial" w:hAnsi="Arial" w:cs="Arial"/>
        </w:rPr>
        <w:t xml:space="preserve">of the partnership </w:t>
      </w:r>
      <w:r w:rsidR="00554570">
        <w:rPr>
          <w:rFonts w:ascii="Arial" w:hAnsi="Arial" w:cs="Arial"/>
        </w:rPr>
        <w:t xml:space="preserve">in order to provide funders with visibility on </w:t>
      </w:r>
      <w:r>
        <w:rPr>
          <w:rFonts w:ascii="Arial" w:hAnsi="Arial" w:cs="Arial"/>
        </w:rPr>
        <w:t>cash</w:t>
      </w:r>
      <w:r w:rsidR="0015137E">
        <w:rPr>
          <w:rFonts w:ascii="Arial" w:hAnsi="Arial" w:cs="Arial"/>
        </w:rPr>
        <w:t>flow</w:t>
      </w:r>
      <w:r>
        <w:rPr>
          <w:rFonts w:ascii="Arial" w:hAnsi="Arial" w:cs="Arial"/>
        </w:rPr>
        <w:t>. This reflected 5% annual increases for Meadows, South Court</w:t>
      </w:r>
      <w:r w:rsidR="0015137E">
        <w:rPr>
          <w:rFonts w:ascii="Arial" w:hAnsi="Arial" w:cs="Arial"/>
        </w:rPr>
        <w:t>s, and the Houses;</w:t>
      </w:r>
      <w:r>
        <w:rPr>
          <w:rFonts w:ascii="Arial" w:hAnsi="Arial" w:cs="Arial"/>
        </w:rPr>
        <w:t xml:space="preserve"> and 4% compound growth for University Quays.</w:t>
      </w:r>
      <w:r w:rsidR="0015137E">
        <w:rPr>
          <w:rFonts w:ascii="Arial" w:hAnsi="Arial" w:cs="Arial"/>
        </w:rPr>
        <w:t xml:space="preserve"> A carve out was negotiated for the Towers and Wolfson Court, with the University retaining flexibility for rent setting in respect of these rooms.</w:t>
      </w:r>
    </w:p>
    <w:p w:rsidR="0002706E" w:rsidRDefault="0002706E" w:rsidP="00554570">
      <w:pPr>
        <w:jc w:val="both"/>
        <w:rPr>
          <w:rFonts w:ascii="Arial" w:hAnsi="Arial" w:cs="Arial"/>
        </w:rPr>
      </w:pPr>
      <w:r>
        <w:rPr>
          <w:rFonts w:ascii="Arial" w:hAnsi="Arial" w:cs="Arial"/>
        </w:rPr>
        <w:t>2.1.3</w:t>
      </w:r>
      <w:r>
        <w:rPr>
          <w:rFonts w:ascii="Arial" w:hAnsi="Arial" w:cs="Arial"/>
        </w:rPr>
        <w:tab/>
        <w:t>The rental table below</w:t>
      </w:r>
      <w:r w:rsidR="0015137E">
        <w:rPr>
          <w:rFonts w:ascii="Arial" w:hAnsi="Arial" w:cs="Arial"/>
        </w:rPr>
        <w:t xml:space="preserve"> (Table A)</w:t>
      </w:r>
      <w:r>
        <w:rPr>
          <w:rFonts w:ascii="Arial" w:hAnsi="Arial" w:cs="Arial"/>
        </w:rPr>
        <w:t xml:space="preserve">, detailing the </w:t>
      </w:r>
      <w:r w:rsidR="00BE2F7C">
        <w:rPr>
          <w:rFonts w:ascii="Arial" w:hAnsi="Arial" w:cs="Arial"/>
        </w:rPr>
        <w:t>projected</w:t>
      </w:r>
      <w:r>
        <w:rPr>
          <w:rFonts w:ascii="Arial" w:hAnsi="Arial" w:cs="Arial"/>
        </w:rPr>
        <w:t xml:space="preserve"> rents for </w:t>
      </w:r>
      <w:r w:rsidR="00BE2F7C">
        <w:rPr>
          <w:rFonts w:ascii="Arial" w:hAnsi="Arial" w:cs="Arial"/>
        </w:rPr>
        <w:t xml:space="preserve">a </w:t>
      </w:r>
      <w:r w:rsidR="002455FB">
        <w:rPr>
          <w:rFonts w:ascii="Arial" w:hAnsi="Arial" w:cs="Arial"/>
        </w:rPr>
        <w:t>4</w:t>
      </w:r>
      <w:r w:rsidR="00BE2F7C">
        <w:rPr>
          <w:rFonts w:ascii="Arial" w:hAnsi="Arial" w:cs="Arial"/>
        </w:rPr>
        <w:t xml:space="preserve"> year period</w:t>
      </w:r>
      <w:r>
        <w:rPr>
          <w:rFonts w:ascii="Arial" w:hAnsi="Arial" w:cs="Arial"/>
        </w:rPr>
        <w:t>, formed part of the original OJEU procurement which was initiated in Spring 2010 and underpinned the</w:t>
      </w:r>
      <w:r w:rsidR="0015137E">
        <w:rPr>
          <w:rFonts w:ascii="Arial" w:hAnsi="Arial" w:cs="Arial"/>
        </w:rPr>
        <w:t xml:space="preserve"> deal including the delivery of a significant capital receipt to the University for reinvestment in the facilities at Colchester.</w:t>
      </w:r>
    </w:p>
    <w:p w:rsidR="003533DA" w:rsidRDefault="003533DA" w:rsidP="00554570">
      <w:pPr>
        <w:jc w:val="both"/>
        <w:rPr>
          <w:rFonts w:ascii="Arial" w:hAnsi="Arial" w:cs="Arial"/>
          <w:b/>
        </w:rPr>
      </w:pPr>
    </w:p>
    <w:p w:rsidR="003533DA" w:rsidRDefault="003533DA" w:rsidP="00554570">
      <w:pPr>
        <w:jc w:val="both"/>
        <w:rPr>
          <w:rFonts w:ascii="Arial" w:hAnsi="Arial" w:cs="Arial"/>
          <w:b/>
        </w:rPr>
      </w:pPr>
    </w:p>
    <w:p w:rsidR="003533DA" w:rsidRDefault="003533DA" w:rsidP="00554570">
      <w:pPr>
        <w:jc w:val="both"/>
        <w:rPr>
          <w:rFonts w:ascii="Arial" w:hAnsi="Arial" w:cs="Arial"/>
          <w:b/>
        </w:rPr>
      </w:pPr>
    </w:p>
    <w:p w:rsidR="003533DA" w:rsidRDefault="003533DA" w:rsidP="00554570">
      <w:pPr>
        <w:jc w:val="both"/>
        <w:rPr>
          <w:rFonts w:ascii="Arial" w:hAnsi="Arial" w:cs="Arial"/>
          <w:b/>
        </w:rPr>
      </w:pPr>
      <w:r w:rsidRPr="003533DA">
        <w:rPr>
          <w:rFonts w:ascii="Arial" w:hAnsi="Arial" w:cs="Arial"/>
          <w:b/>
        </w:rPr>
        <w:lastRenderedPageBreak/>
        <w:t>Table A</w:t>
      </w:r>
    </w:p>
    <w:p w:rsidR="003533DA" w:rsidRPr="003533DA" w:rsidRDefault="00752246" w:rsidP="00554570">
      <w:pPr>
        <w:jc w:val="both"/>
        <w:rPr>
          <w:rFonts w:ascii="Arial" w:hAnsi="Arial" w:cs="Arial"/>
          <w:b/>
        </w:rPr>
      </w:pPr>
      <w:r w:rsidRPr="00752246">
        <w:rPr>
          <w:noProof/>
          <w:lang w:eastAsia="en-GB"/>
        </w:rPr>
        <w:drawing>
          <wp:inline distT="0" distB="0" distL="0" distR="0">
            <wp:extent cx="5731510" cy="2924796"/>
            <wp:effectExtent l="19050" t="0" r="254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31510" cy="2924796"/>
                    </a:xfrm>
                    <a:prstGeom prst="rect">
                      <a:avLst/>
                    </a:prstGeom>
                    <a:noFill/>
                    <a:ln w="9525">
                      <a:noFill/>
                      <a:miter lim="800000"/>
                      <a:headEnd/>
                      <a:tailEnd/>
                    </a:ln>
                  </pic:spPr>
                </pic:pic>
              </a:graphicData>
            </a:graphic>
          </wp:inline>
        </w:drawing>
      </w:r>
    </w:p>
    <w:p w:rsidR="0015137E" w:rsidRDefault="0015137E" w:rsidP="00554570">
      <w:pPr>
        <w:jc w:val="both"/>
        <w:rPr>
          <w:rFonts w:ascii="Arial" w:hAnsi="Arial" w:cs="Arial"/>
        </w:rPr>
      </w:pPr>
      <w:r>
        <w:rPr>
          <w:rFonts w:ascii="Arial" w:hAnsi="Arial" w:cs="Arial"/>
        </w:rPr>
        <w:t>2.1.4</w:t>
      </w:r>
      <w:r>
        <w:rPr>
          <w:rFonts w:ascii="Arial" w:hAnsi="Arial" w:cs="Arial"/>
        </w:rPr>
        <w:tab/>
        <w:t xml:space="preserve">At the end of the initial 3 year term, the University has fettered </w:t>
      </w:r>
      <w:r w:rsidR="001C05EA">
        <w:rPr>
          <w:rFonts w:ascii="Arial" w:hAnsi="Arial" w:cs="Arial"/>
        </w:rPr>
        <w:t>the control of Uliving to set rents for Meadows &amp; Quays; and in the absence of a mutual agreement between parties the Uliving rents will default to RPI. The rents for South Courts and the Houses must track and/or not drop below the Uliving increases, but again there is complete freedom for rental levels at the Towers and Wolfson Court.</w:t>
      </w:r>
    </w:p>
    <w:p w:rsidR="003533DA" w:rsidRDefault="001C05EA" w:rsidP="00554570">
      <w:pPr>
        <w:jc w:val="both"/>
        <w:rPr>
          <w:rFonts w:ascii="Arial" w:hAnsi="Arial" w:cs="Arial"/>
        </w:rPr>
      </w:pPr>
      <w:r>
        <w:rPr>
          <w:rFonts w:ascii="Arial" w:hAnsi="Arial" w:cs="Arial"/>
        </w:rPr>
        <w:t>2.</w:t>
      </w:r>
      <w:r w:rsidR="00752246">
        <w:rPr>
          <w:rFonts w:ascii="Arial" w:hAnsi="Arial" w:cs="Arial"/>
        </w:rPr>
        <w:t>1.5</w:t>
      </w:r>
      <w:r w:rsidR="00752246">
        <w:rPr>
          <w:rFonts w:ascii="Arial" w:hAnsi="Arial" w:cs="Arial"/>
        </w:rPr>
        <w:tab/>
        <w:t>It is important to appreciate</w:t>
      </w:r>
      <w:r>
        <w:rPr>
          <w:rFonts w:ascii="Arial" w:hAnsi="Arial" w:cs="Arial"/>
        </w:rPr>
        <w:t xml:space="preserve"> the rental model developed </w:t>
      </w:r>
      <w:r w:rsidR="004C19A9">
        <w:rPr>
          <w:rFonts w:ascii="Arial" w:hAnsi="Arial" w:cs="Arial"/>
        </w:rPr>
        <w:t xml:space="preserve">circa </w:t>
      </w:r>
      <w:r>
        <w:rPr>
          <w:rFonts w:ascii="Arial" w:hAnsi="Arial" w:cs="Arial"/>
        </w:rPr>
        <w:t>30 months ago in support of the OJEU procurement was based on an entirely different HE sector climate, prior to the inception of £9k tuition fees. Annual rent increases at Colchester, particularly at South Courts and Quays, had tracked circa 2% ahead of RPI as detailed below (Table B)</w:t>
      </w:r>
    </w:p>
    <w:p w:rsidR="001C05EA" w:rsidRDefault="003533DA" w:rsidP="00554570">
      <w:pPr>
        <w:jc w:val="both"/>
        <w:rPr>
          <w:rFonts w:ascii="Arial" w:hAnsi="Arial" w:cs="Arial"/>
          <w:b/>
        </w:rPr>
      </w:pPr>
      <w:r w:rsidRPr="003533DA">
        <w:rPr>
          <w:rFonts w:ascii="Arial" w:hAnsi="Arial" w:cs="Arial"/>
          <w:b/>
        </w:rPr>
        <w:t>Table B</w:t>
      </w:r>
    </w:p>
    <w:p w:rsidR="003533DA" w:rsidRDefault="003533DA" w:rsidP="00554570">
      <w:pPr>
        <w:jc w:val="both"/>
        <w:rPr>
          <w:rFonts w:ascii="Arial" w:hAnsi="Arial" w:cs="Arial"/>
          <w:b/>
        </w:rPr>
      </w:pPr>
      <w:r w:rsidRPr="003533DA">
        <w:rPr>
          <w:noProof/>
          <w:lang w:eastAsia="en-GB"/>
        </w:rPr>
        <w:drawing>
          <wp:inline distT="0" distB="0" distL="0" distR="0">
            <wp:extent cx="5731510" cy="2883610"/>
            <wp:effectExtent l="1905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731510" cy="2883610"/>
                    </a:xfrm>
                    <a:prstGeom prst="rect">
                      <a:avLst/>
                    </a:prstGeom>
                    <a:noFill/>
                    <a:ln w="9525">
                      <a:noFill/>
                      <a:miter lim="800000"/>
                      <a:headEnd/>
                      <a:tailEnd/>
                    </a:ln>
                  </pic:spPr>
                </pic:pic>
              </a:graphicData>
            </a:graphic>
          </wp:inline>
        </w:drawing>
      </w:r>
    </w:p>
    <w:p w:rsidR="00EC1F88" w:rsidRPr="003533DA" w:rsidRDefault="00EC1F88" w:rsidP="00554570">
      <w:pPr>
        <w:jc w:val="both"/>
        <w:rPr>
          <w:rFonts w:ascii="Arial" w:hAnsi="Arial" w:cs="Arial"/>
          <w:b/>
        </w:rPr>
      </w:pPr>
      <w:r w:rsidRPr="00EC1F88">
        <w:rPr>
          <w:noProof/>
          <w:lang w:eastAsia="en-GB"/>
        </w:rPr>
        <w:lastRenderedPageBreak/>
        <w:drawing>
          <wp:inline distT="0" distB="0" distL="0" distR="0">
            <wp:extent cx="5731510" cy="2954004"/>
            <wp:effectExtent l="1905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731510" cy="2954004"/>
                    </a:xfrm>
                    <a:prstGeom prst="rect">
                      <a:avLst/>
                    </a:prstGeom>
                    <a:noFill/>
                    <a:ln w="9525">
                      <a:noFill/>
                      <a:miter lim="800000"/>
                      <a:headEnd/>
                      <a:tailEnd/>
                    </a:ln>
                  </pic:spPr>
                </pic:pic>
              </a:graphicData>
            </a:graphic>
          </wp:inline>
        </w:drawing>
      </w:r>
    </w:p>
    <w:p w:rsidR="001C05EA" w:rsidRDefault="001C05EA" w:rsidP="00554570">
      <w:pPr>
        <w:jc w:val="both"/>
        <w:rPr>
          <w:rFonts w:ascii="Arial" w:hAnsi="Arial" w:cs="Arial"/>
        </w:rPr>
      </w:pPr>
      <w:r>
        <w:rPr>
          <w:rFonts w:ascii="Arial" w:hAnsi="Arial" w:cs="Arial"/>
        </w:rPr>
        <w:t>2.1.6</w:t>
      </w:r>
      <w:r>
        <w:rPr>
          <w:rFonts w:ascii="Arial" w:hAnsi="Arial" w:cs="Arial"/>
        </w:rPr>
        <w:tab/>
      </w:r>
      <w:r w:rsidR="006431B9">
        <w:rPr>
          <w:rFonts w:ascii="Arial" w:hAnsi="Arial" w:cs="Arial"/>
        </w:rPr>
        <w:t xml:space="preserve">In the current context of challenges around student recruitment, the rent increases at face value look demanding with RPI at 3.1% in December 2012. However, it is also relevant to note the Savills sector research commissioned by Aviva in support of their funding approval process indicated that University of Essex rents were tracking materially below the direct competitor group </w:t>
      </w:r>
      <w:r w:rsidR="004C19A9">
        <w:rPr>
          <w:rFonts w:ascii="Arial" w:hAnsi="Arial" w:cs="Arial"/>
        </w:rPr>
        <w:t xml:space="preserve">identified by C&amp;ER </w:t>
      </w:r>
      <w:r w:rsidR="00CE5B58">
        <w:rPr>
          <w:rFonts w:ascii="Arial" w:hAnsi="Arial" w:cs="Arial"/>
        </w:rPr>
        <w:t>as highlighted in Appendix A</w:t>
      </w:r>
      <w:r w:rsidR="006431B9">
        <w:rPr>
          <w:rFonts w:ascii="Arial" w:hAnsi="Arial" w:cs="Arial"/>
        </w:rPr>
        <w:t>.</w:t>
      </w:r>
    </w:p>
    <w:p w:rsidR="006431B9" w:rsidRDefault="006431B9" w:rsidP="00554570">
      <w:pPr>
        <w:jc w:val="both"/>
        <w:rPr>
          <w:rFonts w:ascii="Arial" w:hAnsi="Arial" w:cs="Arial"/>
        </w:rPr>
      </w:pPr>
      <w:r>
        <w:rPr>
          <w:rFonts w:ascii="Arial" w:hAnsi="Arial" w:cs="Arial"/>
        </w:rPr>
        <w:t>2.1.7</w:t>
      </w:r>
      <w:r>
        <w:rPr>
          <w:rFonts w:ascii="Arial" w:hAnsi="Arial" w:cs="Arial"/>
        </w:rPr>
        <w:tab/>
        <w:t xml:space="preserve">It is the firm view of Campus Services that there is no prospect of renegotiating the 2013/14 rent increases with Uliving and Aviva, or with Equitix who are the equity investors in the SPV. The deal which achieved commercial and financial close in August 2012 was based on </w:t>
      </w:r>
      <w:r w:rsidR="00885CEB">
        <w:rPr>
          <w:rFonts w:ascii="Arial" w:hAnsi="Arial" w:cs="Arial"/>
        </w:rPr>
        <w:t>a 50 year financial model de</w:t>
      </w:r>
      <w:r w:rsidR="004C19A9">
        <w:rPr>
          <w:rFonts w:ascii="Arial" w:hAnsi="Arial" w:cs="Arial"/>
        </w:rPr>
        <w:t>rived</w:t>
      </w:r>
      <w:r w:rsidR="00885CEB">
        <w:rPr>
          <w:rFonts w:ascii="Arial" w:hAnsi="Arial" w:cs="Arial"/>
        </w:rPr>
        <w:t xml:space="preserve"> from these </w:t>
      </w:r>
      <w:r>
        <w:rPr>
          <w:rFonts w:ascii="Arial" w:hAnsi="Arial" w:cs="Arial"/>
        </w:rPr>
        <w:t>base rents</w:t>
      </w:r>
      <w:r w:rsidR="00885CEB">
        <w:rPr>
          <w:rFonts w:ascii="Arial" w:hAnsi="Arial" w:cs="Arial"/>
        </w:rPr>
        <w:t xml:space="preserve">. Any attempt to ‘move the goalposts’ </w:t>
      </w:r>
      <w:r w:rsidR="004C19A9">
        <w:rPr>
          <w:rFonts w:ascii="Arial" w:hAnsi="Arial" w:cs="Arial"/>
        </w:rPr>
        <w:t xml:space="preserve">at this stage </w:t>
      </w:r>
      <w:r w:rsidR="00885CEB">
        <w:rPr>
          <w:rFonts w:ascii="Arial" w:hAnsi="Arial" w:cs="Arial"/>
        </w:rPr>
        <w:t>would not only have a material adverse impact on the level of capital receipt but would undoubtedly cause a significant loss of confidence in the strength of the University covenant.</w:t>
      </w:r>
    </w:p>
    <w:p w:rsidR="00885CEB" w:rsidRPr="00885CEB" w:rsidRDefault="00885CEB" w:rsidP="00554570">
      <w:pPr>
        <w:jc w:val="both"/>
        <w:rPr>
          <w:rFonts w:ascii="Arial" w:hAnsi="Arial" w:cs="Arial"/>
          <w:b/>
          <w:i/>
        </w:rPr>
      </w:pPr>
      <w:r>
        <w:rPr>
          <w:rFonts w:ascii="Arial" w:hAnsi="Arial" w:cs="Arial"/>
        </w:rPr>
        <w:t xml:space="preserve">2.1.8 </w:t>
      </w:r>
      <w:r w:rsidRPr="00885CEB">
        <w:rPr>
          <w:rFonts w:ascii="Arial" w:hAnsi="Arial" w:cs="Arial"/>
          <w:b/>
          <w:i/>
        </w:rPr>
        <w:t>USG is therefore requested to approve the proposed increases of 5% at South Courts and the Houses and 4% at University Quays.</w:t>
      </w:r>
    </w:p>
    <w:p w:rsidR="00885CEB" w:rsidRPr="00885CEB" w:rsidRDefault="00885CEB" w:rsidP="00554570">
      <w:pPr>
        <w:jc w:val="both"/>
        <w:rPr>
          <w:rFonts w:ascii="Arial" w:hAnsi="Arial" w:cs="Arial"/>
          <w:sz w:val="16"/>
          <w:szCs w:val="16"/>
        </w:rPr>
      </w:pPr>
    </w:p>
    <w:p w:rsidR="00885CEB" w:rsidRPr="00885CEB" w:rsidRDefault="00885CEB" w:rsidP="00554570">
      <w:pPr>
        <w:jc w:val="both"/>
        <w:rPr>
          <w:rFonts w:ascii="Arial" w:hAnsi="Arial" w:cs="Arial"/>
          <w:b/>
          <w:sz w:val="24"/>
          <w:szCs w:val="24"/>
        </w:rPr>
      </w:pPr>
      <w:r w:rsidRPr="00885CEB">
        <w:rPr>
          <w:rFonts w:ascii="Arial" w:hAnsi="Arial" w:cs="Arial"/>
          <w:b/>
          <w:sz w:val="24"/>
          <w:szCs w:val="24"/>
        </w:rPr>
        <w:t>2.2 The Towers</w:t>
      </w:r>
    </w:p>
    <w:p w:rsidR="00885CEB" w:rsidRDefault="00885CEB" w:rsidP="00554570">
      <w:pPr>
        <w:jc w:val="both"/>
        <w:rPr>
          <w:rFonts w:ascii="Arial" w:hAnsi="Arial" w:cs="Arial"/>
        </w:rPr>
      </w:pPr>
      <w:r>
        <w:rPr>
          <w:rFonts w:ascii="Arial" w:hAnsi="Arial" w:cs="Arial"/>
        </w:rPr>
        <w:t>2.2.1</w:t>
      </w:r>
      <w:r>
        <w:rPr>
          <w:rFonts w:ascii="Arial" w:hAnsi="Arial" w:cs="Arial"/>
        </w:rPr>
        <w:tab/>
        <w:t xml:space="preserve">At Colchester, there have been a few </w:t>
      </w:r>
      <w:r w:rsidR="004C19A9">
        <w:rPr>
          <w:rFonts w:ascii="Arial" w:hAnsi="Arial" w:cs="Arial"/>
        </w:rPr>
        <w:t xml:space="preserve">recent </w:t>
      </w:r>
      <w:r>
        <w:rPr>
          <w:rFonts w:ascii="Arial" w:hAnsi="Arial" w:cs="Arial"/>
        </w:rPr>
        <w:t xml:space="preserve">years of rent increases for North and South Towers tracking significantly below the annual </w:t>
      </w:r>
      <w:r w:rsidR="00E170C6">
        <w:rPr>
          <w:rFonts w:ascii="Arial" w:hAnsi="Arial" w:cs="Arial"/>
        </w:rPr>
        <w:t xml:space="preserve">% </w:t>
      </w:r>
      <w:r>
        <w:rPr>
          <w:rFonts w:ascii="Arial" w:hAnsi="Arial" w:cs="Arial"/>
        </w:rPr>
        <w:t>increases at South Courts and the Quays. Consequently the cash margin is continuing to grow disproportionately and distorting the gap between the highest and lowest weekly rentals. This is not a healthy dynamic, particularly where students may fail to secure their first preference in accommodation selection.</w:t>
      </w:r>
    </w:p>
    <w:p w:rsidR="00E170C6" w:rsidRDefault="00E170C6" w:rsidP="00554570">
      <w:pPr>
        <w:jc w:val="both"/>
        <w:rPr>
          <w:rFonts w:ascii="Arial" w:hAnsi="Arial" w:cs="Arial"/>
        </w:rPr>
      </w:pPr>
      <w:r>
        <w:rPr>
          <w:rFonts w:ascii="Arial" w:hAnsi="Arial" w:cs="Arial"/>
        </w:rPr>
        <w:t>2.2.2</w:t>
      </w:r>
      <w:r>
        <w:rPr>
          <w:rFonts w:ascii="Arial" w:hAnsi="Arial" w:cs="Arial"/>
        </w:rPr>
        <w:tab/>
        <w:t xml:space="preserve">The future development of, and reinvestment in, student residences on campus needs to focus on creating a balanced portfolio of accommodation with a wide range of prices to support student recruitment. This issue is being considered by both the ongoing </w:t>
      </w:r>
      <w:r w:rsidRPr="00E170C6">
        <w:rPr>
          <w:rFonts w:ascii="Arial" w:hAnsi="Arial" w:cs="Arial"/>
          <w:i/>
        </w:rPr>
        <w:t>Accommodation Essex Operational &amp; Strategic Review</w:t>
      </w:r>
      <w:r>
        <w:rPr>
          <w:rFonts w:ascii="Arial" w:hAnsi="Arial" w:cs="Arial"/>
        </w:rPr>
        <w:t xml:space="preserve"> and the </w:t>
      </w:r>
      <w:r w:rsidRPr="00E170C6">
        <w:rPr>
          <w:rFonts w:ascii="Arial" w:hAnsi="Arial" w:cs="Arial"/>
          <w:i/>
        </w:rPr>
        <w:t>Towers Options Appraisal</w:t>
      </w:r>
      <w:r>
        <w:rPr>
          <w:rFonts w:ascii="Arial" w:hAnsi="Arial" w:cs="Arial"/>
        </w:rPr>
        <w:t>.</w:t>
      </w:r>
    </w:p>
    <w:p w:rsidR="00E170C6" w:rsidRDefault="00E170C6" w:rsidP="00554570">
      <w:pPr>
        <w:jc w:val="both"/>
        <w:rPr>
          <w:rFonts w:ascii="Arial" w:hAnsi="Arial" w:cs="Arial"/>
        </w:rPr>
      </w:pPr>
      <w:r>
        <w:rPr>
          <w:rFonts w:ascii="Arial" w:hAnsi="Arial" w:cs="Arial"/>
        </w:rPr>
        <w:t>2.2.3</w:t>
      </w:r>
      <w:r>
        <w:rPr>
          <w:rFonts w:ascii="Arial" w:hAnsi="Arial" w:cs="Arial"/>
        </w:rPr>
        <w:tab/>
        <w:t>It is illuminating to note from the data below (</w:t>
      </w:r>
      <w:r w:rsidR="00CE5B58">
        <w:rPr>
          <w:rFonts w:ascii="Arial" w:hAnsi="Arial" w:cs="Arial"/>
        </w:rPr>
        <w:t>Table C</w:t>
      </w:r>
      <w:r>
        <w:rPr>
          <w:rFonts w:ascii="Arial" w:hAnsi="Arial" w:cs="Arial"/>
        </w:rPr>
        <w:t>) that new UG demand at Colchester is strong for quality accommodation and significantly less price sensitive than the new PG demand, which reflects a requirement for low rents from international and particularly Chinese PGs.</w:t>
      </w:r>
    </w:p>
    <w:p w:rsidR="00CE5B58" w:rsidRDefault="00CE5B58" w:rsidP="00554570">
      <w:pPr>
        <w:jc w:val="both"/>
        <w:rPr>
          <w:rFonts w:ascii="Arial" w:hAnsi="Arial" w:cs="Arial"/>
          <w:b/>
        </w:rPr>
      </w:pPr>
      <w:r w:rsidRPr="00CE5B58">
        <w:rPr>
          <w:rFonts w:ascii="Arial" w:hAnsi="Arial" w:cs="Arial"/>
          <w:b/>
        </w:rPr>
        <w:t>Table C</w:t>
      </w:r>
    </w:p>
    <w:p w:rsidR="00CE5B58" w:rsidRDefault="00752246" w:rsidP="00554570">
      <w:pPr>
        <w:jc w:val="both"/>
        <w:rPr>
          <w:rFonts w:ascii="Arial" w:hAnsi="Arial" w:cs="Arial"/>
          <w:b/>
        </w:rPr>
      </w:pPr>
      <w:r w:rsidRPr="00752246">
        <w:rPr>
          <w:noProof/>
          <w:lang w:eastAsia="en-GB"/>
        </w:rPr>
        <w:drawing>
          <wp:inline distT="0" distB="0" distL="0" distR="0">
            <wp:extent cx="5095875" cy="2181225"/>
            <wp:effectExtent l="1905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095875" cy="2181225"/>
                    </a:xfrm>
                    <a:prstGeom prst="rect">
                      <a:avLst/>
                    </a:prstGeom>
                    <a:noFill/>
                    <a:ln w="9525">
                      <a:noFill/>
                      <a:miter lim="800000"/>
                      <a:headEnd/>
                      <a:tailEnd/>
                    </a:ln>
                  </pic:spPr>
                </pic:pic>
              </a:graphicData>
            </a:graphic>
          </wp:inline>
        </w:drawing>
      </w:r>
    </w:p>
    <w:p w:rsidR="00CE5B58" w:rsidRPr="00CE5B58" w:rsidRDefault="00CE5B58" w:rsidP="00554570">
      <w:pPr>
        <w:jc w:val="both"/>
        <w:rPr>
          <w:rFonts w:ascii="Arial" w:hAnsi="Arial" w:cs="Arial"/>
          <w:b/>
        </w:rPr>
      </w:pPr>
      <w:r w:rsidRPr="00CE5B58">
        <w:rPr>
          <w:noProof/>
          <w:lang w:eastAsia="en-GB"/>
        </w:rPr>
        <w:drawing>
          <wp:inline distT="0" distB="0" distL="0" distR="0">
            <wp:extent cx="5095875" cy="1790700"/>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5095875" cy="1790700"/>
                    </a:xfrm>
                    <a:prstGeom prst="rect">
                      <a:avLst/>
                    </a:prstGeom>
                    <a:noFill/>
                    <a:ln w="9525">
                      <a:noFill/>
                      <a:miter lim="800000"/>
                      <a:headEnd/>
                      <a:tailEnd/>
                    </a:ln>
                  </pic:spPr>
                </pic:pic>
              </a:graphicData>
            </a:graphic>
          </wp:inline>
        </w:drawing>
      </w:r>
    </w:p>
    <w:p w:rsidR="00E170C6" w:rsidRDefault="00E170C6" w:rsidP="00554570">
      <w:pPr>
        <w:jc w:val="both"/>
        <w:rPr>
          <w:rFonts w:ascii="Arial" w:hAnsi="Arial" w:cs="Arial"/>
        </w:rPr>
      </w:pPr>
      <w:r>
        <w:rPr>
          <w:rFonts w:ascii="Arial" w:hAnsi="Arial" w:cs="Arial"/>
        </w:rPr>
        <w:t>2.2.4</w:t>
      </w:r>
      <w:r>
        <w:rPr>
          <w:rFonts w:ascii="Arial" w:hAnsi="Arial" w:cs="Arial"/>
        </w:rPr>
        <w:tab/>
      </w:r>
      <w:r w:rsidR="00D76B75">
        <w:rPr>
          <w:rFonts w:ascii="Arial" w:hAnsi="Arial" w:cs="Arial"/>
        </w:rPr>
        <w:t xml:space="preserve">It is </w:t>
      </w:r>
      <w:r w:rsidR="002455FB">
        <w:rPr>
          <w:rFonts w:ascii="Arial" w:hAnsi="Arial" w:cs="Arial"/>
        </w:rPr>
        <w:t>essential</w:t>
      </w:r>
      <w:r w:rsidR="00D76B75">
        <w:rPr>
          <w:rFonts w:ascii="Arial" w:hAnsi="Arial" w:cs="Arial"/>
        </w:rPr>
        <w:t xml:space="preserve"> that the Towers offer sustainable accommodation with a revenue flow to support LTM, both in terms of essential maintenance and refurbishment. However, on balance and following consultation with the Students’ Union, the recommendation of Campus Services is the rent increase for the Towers in 2013/14 should be in line with RPI.</w:t>
      </w:r>
    </w:p>
    <w:p w:rsidR="00D76B75" w:rsidRDefault="00D76B75" w:rsidP="00554570">
      <w:pPr>
        <w:jc w:val="both"/>
        <w:rPr>
          <w:rFonts w:ascii="Arial" w:hAnsi="Arial" w:cs="Arial"/>
          <w:b/>
          <w:i/>
        </w:rPr>
      </w:pPr>
      <w:r w:rsidRPr="00C241CE">
        <w:rPr>
          <w:rFonts w:ascii="Arial" w:hAnsi="Arial" w:cs="Arial"/>
        </w:rPr>
        <w:t>2.2.5</w:t>
      </w:r>
      <w:r w:rsidRPr="00D76B75">
        <w:rPr>
          <w:rFonts w:ascii="Arial" w:hAnsi="Arial" w:cs="Arial"/>
          <w:b/>
          <w:i/>
        </w:rPr>
        <w:tab/>
        <w:t xml:space="preserve">USG is therefore requested to approve the proposed increase of 3% for the </w:t>
      </w:r>
      <w:r>
        <w:rPr>
          <w:rFonts w:ascii="Arial" w:hAnsi="Arial" w:cs="Arial"/>
          <w:b/>
          <w:i/>
        </w:rPr>
        <w:t xml:space="preserve">North and South </w:t>
      </w:r>
      <w:r w:rsidRPr="00D76B75">
        <w:rPr>
          <w:rFonts w:ascii="Arial" w:hAnsi="Arial" w:cs="Arial"/>
          <w:b/>
          <w:i/>
        </w:rPr>
        <w:t>Towers.</w:t>
      </w:r>
    </w:p>
    <w:p w:rsidR="002455FB" w:rsidRPr="002455FB" w:rsidRDefault="002455FB" w:rsidP="00554570">
      <w:pPr>
        <w:jc w:val="both"/>
        <w:rPr>
          <w:rFonts w:ascii="Arial" w:hAnsi="Arial" w:cs="Arial"/>
          <w:sz w:val="16"/>
          <w:szCs w:val="16"/>
        </w:rPr>
      </w:pPr>
    </w:p>
    <w:p w:rsidR="00D76B75" w:rsidRDefault="00D76B75" w:rsidP="00554570">
      <w:pPr>
        <w:jc w:val="both"/>
        <w:rPr>
          <w:rFonts w:ascii="Arial" w:hAnsi="Arial" w:cs="Arial"/>
          <w:b/>
          <w:sz w:val="24"/>
          <w:szCs w:val="24"/>
        </w:rPr>
      </w:pPr>
      <w:r>
        <w:rPr>
          <w:rFonts w:ascii="Arial" w:hAnsi="Arial" w:cs="Arial"/>
          <w:b/>
          <w:sz w:val="24"/>
          <w:szCs w:val="24"/>
        </w:rPr>
        <w:t>2.3 Wolfson Court</w:t>
      </w:r>
    </w:p>
    <w:p w:rsidR="00D76B75" w:rsidRDefault="00D76B75" w:rsidP="00554570">
      <w:pPr>
        <w:jc w:val="both"/>
        <w:rPr>
          <w:rFonts w:ascii="Arial" w:hAnsi="Arial" w:cs="Arial"/>
        </w:rPr>
      </w:pPr>
      <w:r>
        <w:rPr>
          <w:rFonts w:ascii="Arial" w:hAnsi="Arial" w:cs="Arial"/>
        </w:rPr>
        <w:t>2.3.1</w:t>
      </w:r>
      <w:r>
        <w:rPr>
          <w:rFonts w:ascii="Arial" w:hAnsi="Arial" w:cs="Arial"/>
        </w:rPr>
        <w:tab/>
        <w:t>The balanced opinion of Accommodation Essex is that the current rents at Wolfson Court do not accurately reflect the quality of the rooms and facilities</w:t>
      </w:r>
      <w:r w:rsidR="00C241CE">
        <w:rPr>
          <w:rFonts w:ascii="Arial" w:hAnsi="Arial" w:cs="Arial"/>
        </w:rPr>
        <w:t xml:space="preserve"> when weighed against the other residences.</w:t>
      </w:r>
    </w:p>
    <w:p w:rsidR="00C241CE" w:rsidRDefault="00C241CE" w:rsidP="00554570">
      <w:pPr>
        <w:jc w:val="both"/>
        <w:rPr>
          <w:rFonts w:ascii="Arial" w:hAnsi="Arial" w:cs="Arial"/>
        </w:rPr>
      </w:pPr>
      <w:r>
        <w:rPr>
          <w:rFonts w:ascii="Arial" w:hAnsi="Arial" w:cs="Arial"/>
        </w:rPr>
        <w:t>2.3.2</w:t>
      </w:r>
      <w:r>
        <w:rPr>
          <w:rFonts w:ascii="Arial" w:hAnsi="Arial" w:cs="Arial"/>
        </w:rPr>
        <w:tab/>
        <w:t>The initial proposal was to increase Wolfson Court rents by 7% in 2013/14 to begin to address this gap. However, consultation with the Students’ Union highlighted the fact that a 7% increase would not create a positive headline in the current HE funding climate.</w:t>
      </w:r>
    </w:p>
    <w:p w:rsidR="00C241CE" w:rsidRDefault="00C241CE" w:rsidP="00554570">
      <w:pPr>
        <w:jc w:val="both"/>
        <w:rPr>
          <w:rFonts w:ascii="Arial" w:hAnsi="Arial" w:cs="Arial"/>
        </w:rPr>
      </w:pPr>
      <w:r>
        <w:rPr>
          <w:rFonts w:ascii="Arial" w:hAnsi="Arial" w:cs="Arial"/>
        </w:rPr>
        <w:t>2.3.3</w:t>
      </w:r>
      <w:r>
        <w:rPr>
          <w:rFonts w:ascii="Arial" w:hAnsi="Arial" w:cs="Arial"/>
        </w:rPr>
        <w:tab/>
        <w:t>The revised recommendation is a 5% increase, which has been agreed with Kaplan as these 28 rooms are entirely occupied by Edge Hotel School students.</w:t>
      </w:r>
    </w:p>
    <w:p w:rsidR="00C241CE" w:rsidRDefault="00C241CE" w:rsidP="00554570">
      <w:pPr>
        <w:jc w:val="both"/>
        <w:rPr>
          <w:rFonts w:ascii="Arial" w:hAnsi="Arial" w:cs="Arial"/>
        </w:rPr>
      </w:pPr>
      <w:r>
        <w:rPr>
          <w:rFonts w:ascii="Arial" w:hAnsi="Arial" w:cs="Arial"/>
        </w:rPr>
        <w:t xml:space="preserve">2.3.4 </w:t>
      </w:r>
      <w:r w:rsidRPr="00C241CE">
        <w:rPr>
          <w:rFonts w:ascii="Arial" w:hAnsi="Arial" w:cs="Arial"/>
          <w:b/>
          <w:i/>
        </w:rPr>
        <w:t>USG is requested to approve the proposed 5% increase for Wolfson Court.</w:t>
      </w:r>
    </w:p>
    <w:p w:rsidR="0002706E" w:rsidRPr="00C241CE" w:rsidRDefault="0002706E" w:rsidP="00554570">
      <w:pPr>
        <w:jc w:val="both"/>
        <w:rPr>
          <w:rFonts w:ascii="Arial" w:hAnsi="Arial" w:cs="Arial"/>
          <w:sz w:val="16"/>
          <w:szCs w:val="16"/>
        </w:rPr>
      </w:pPr>
    </w:p>
    <w:p w:rsidR="00C241CE" w:rsidRPr="00C241CE" w:rsidRDefault="00C241CE" w:rsidP="00554570">
      <w:pPr>
        <w:jc w:val="both"/>
        <w:rPr>
          <w:rFonts w:ascii="Arial" w:hAnsi="Arial" w:cs="Arial"/>
          <w:b/>
          <w:sz w:val="24"/>
          <w:szCs w:val="24"/>
        </w:rPr>
      </w:pPr>
      <w:r w:rsidRPr="00C241CE">
        <w:rPr>
          <w:rFonts w:ascii="Arial" w:hAnsi="Arial" w:cs="Arial"/>
          <w:b/>
          <w:sz w:val="24"/>
          <w:szCs w:val="24"/>
        </w:rPr>
        <w:t>2.4 Residence Life</w:t>
      </w:r>
    </w:p>
    <w:p w:rsidR="002D36CE" w:rsidRDefault="00C241CE" w:rsidP="00554570">
      <w:pPr>
        <w:jc w:val="both"/>
        <w:rPr>
          <w:rFonts w:ascii="Arial" w:hAnsi="Arial" w:cs="Arial"/>
        </w:rPr>
      </w:pPr>
      <w:r>
        <w:rPr>
          <w:rFonts w:ascii="Arial" w:hAnsi="Arial" w:cs="Arial"/>
        </w:rPr>
        <w:t>2.4.1</w:t>
      </w:r>
      <w:r>
        <w:rPr>
          <w:rFonts w:ascii="Arial" w:hAnsi="Arial" w:cs="Arial"/>
        </w:rPr>
        <w:tab/>
        <w:t>An element of the income generated from student rents is reinvested in the Residence Support Network, which delivers social activities, supports welfare and well-being in the accommodation, and assists with student discipline and communal living. The budget for this activity in 2012/13 was £400k managed by Student Support in partnership with Campus Services.</w:t>
      </w:r>
    </w:p>
    <w:p w:rsidR="00C241CE" w:rsidRDefault="002D36CE" w:rsidP="00554570">
      <w:pPr>
        <w:jc w:val="both"/>
        <w:rPr>
          <w:rFonts w:ascii="Arial" w:hAnsi="Arial" w:cs="Arial"/>
        </w:rPr>
      </w:pPr>
      <w:r>
        <w:rPr>
          <w:rFonts w:ascii="Arial" w:hAnsi="Arial" w:cs="Arial"/>
        </w:rPr>
        <w:t>2.4.2</w:t>
      </w:r>
      <w:r>
        <w:rPr>
          <w:rFonts w:ascii="Arial" w:hAnsi="Arial" w:cs="Arial"/>
        </w:rPr>
        <w:tab/>
        <w:t>The strategic focus on living and learning, through creating learning communities, enhances the important role delivered by the Residence Support Network.</w:t>
      </w:r>
      <w:r w:rsidR="00C241CE">
        <w:rPr>
          <w:rFonts w:ascii="Arial" w:hAnsi="Arial" w:cs="Arial"/>
        </w:rPr>
        <w:t xml:space="preserve"> </w:t>
      </w:r>
    </w:p>
    <w:p w:rsidR="002D36CE" w:rsidRDefault="002D36CE" w:rsidP="00554570">
      <w:pPr>
        <w:jc w:val="both"/>
        <w:rPr>
          <w:rFonts w:ascii="Arial" w:hAnsi="Arial" w:cs="Arial"/>
        </w:rPr>
      </w:pPr>
      <w:r>
        <w:rPr>
          <w:rFonts w:ascii="Arial" w:hAnsi="Arial" w:cs="Arial"/>
        </w:rPr>
        <w:t>2.4.3</w:t>
      </w:r>
      <w:r>
        <w:rPr>
          <w:rFonts w:ascii="Arial" w:hAnsi="Arial" w:cs="Arial"/>
        </w:rPr>
        <w:tab/>
        <w:t>The US Study Tour to Chicago and Boston</w:t>
      </w:r>
      <w:r w:rsidR="004C19A9">
        <w:rPr>
          <w:rFonts w:ascii="Arial" w:hAnsi="Arial" w:cs="Arial"/>
        </w:rPr>
        <w:t xml:space="preserve"> in January 2013</w:t>
      </w:r>
      <w:r>
        <w:rPr>
          <w:rFonts w:ascii="Arial" w:hAnsi="Arial" w:cs="Arial"/>
        </w:rPr>
        <w:t>, l</w:t>
      </w:r>
      <w:r w:rsidR="004C19A9">
        <w:rPr>
          <w:rFonts w:ascii="Arial" w:hAnsi="Arial" w:cs="Arial"/>
        </w:rPr>
        <w:t>ed by the PVC (Education), focused</w:t>
      </w:r>
      <w:r>
        <w:rPr>
          <w:rFonts w:ascii="Arial" w:hAnsi="Arial" w:cs="Arial"/>
        </w:rPr>
        <w:t xml:space="preserve"> strongly on the development of learning communities; and it is likely </w:t>
      </w:r>
      <w:r w:rsidR="004C19A9">
        <w:rPr>
          <w:rFonts w:ascii="Arial" w:hAnsi="Arial" w:cs="Arial"/>
        </w:rPr>
        <w:t xml:space="preserve">there will be a firm recommendation </w:t>
      </w:r>
      <w:r>
        <w:rPr>
          <w:rFonts w:ascii="Arial" w:hAnsi="Arial" w:cs="Arial"/>
        </w:rPr>
        <w:t xml:space="preserve">that further resource </w:t>
      </w:r>
      <w:r w:rsidR="004C19A9">
        <w:rPr>
          <w:rFonts w:ascii="Arial" w:hAnsi="Arial" w:cs="Arial"/>
        </w:rPr>
        <w:t>should</w:t>
      </w:r>
      <w:r>
        <w:rPr>
          <w:rFonts w:ascii="Arial" w:hAnsi="Arial" w:cs="Arial"/>
        </w:rPr>
        <w:t xml:space="preserve"> be directed into this area as part of the financial modelling underpinning the development of a new </w:t>
      </w:r>
      <w:r w:rsidRPr="002D36CE">
        <w:rPr>
          <w:rFonts w:ascii="Arial" w:hAnsi="Arial" w:cs="Arial"/>
          <w:i/>
        </w:rPr>
        <w:t xml:space="preserve">University of Essex Campus Services </w:t>
      </w:r>
      <w:r>
        <w:rPr>
          <w:rFonts w:ascii="Arial" w:hAnsi="Arial" w:cs="Arial"/>
          <w:i/>
        </w:rPr>
        <w:t xml:space="preserve">– </w:t>
      </w:r>
      <w:r w:rsidRPr="002D36CE">
        <w:rPr>
          <w:rFonts w:ascii="Arial" w:hAnsi="Arial" w:cs="Arial"/>
          <w:i/>
        </w:rPr>
        <w:t>5</w:t>
      </w:r>
      <w:r>
        <w:rPr>
          <w:rFonts w:ascii="Arial" w:hAnsi="Arial" w:cs="Arial"/>
          <w:i/>
        </w:rPr>
        <w:t xml:space="preserve"> </w:t>
      </w:r>
      <w:r w:rsidRPr="002D36CE">
        <w:rPr>
          <w:rFonts w:ascii="Arial" w:hAnsi="Arial" w:cs="Arial"/>
          <w:i/>
        </w:rPr>
        <w:t>Year Strategic Plan 2014-18</w:t>
      </w:r>
      <w:r>
        <w:rPr>
          <w:rFonts w:ascii="Arial" w:hAnsi="Arial" w:cs="Arial"/>
        </w:rPr>
        <w:t>.</w:t>
      </w:r>
    </w:p>
    <w:p w:rsidR="002D36CE" w:rsidRPr="002D36CE" w:rsidRDefault="002D36CE" w:rsidP="00554570">
      <w:pPr>
        <w:jc w:val="both"/>
        <w:rPr>
          <w:rFonts w:ascii="Arial" w:hAnsi="Arial" w:cs="Arial"/>
          <w:sz w:val="16"/>
          <w:szCs w:val="16"/>
        </w:rPr>
      </w:pPr>
    </w:p>
    <w:p w:rsidR="002D36CE" w:rsidRPr="002D36CE" w:rsidRDefault="002D36CE" w:rsidP="00554570">
      <w:pPr>
        <w:jc w:val="both"/>
        <w:rPr>
          <w:rFonts w:ascii="Arial" w:hAnsi="Arial" w:cs="Arial"/>
          <w:b/>
          <w:sz w:val="24"/>
          <w:szCs w:val="24"/>
        </w:rPr>
      </w:pPr>
      <w:r w:rsidRPr="002D36CE">
        <w:rPr>
          <w:rFonts w:ascii="Arial" w:hAnsi="Arial" w:cs="Arial"/>
          <w:b/>
          <w:sz w:val="24"/>
          <w:szCs w:val="24"/>
        </w:rPr>
        <w:t>2.5 Private</w:t>
      </w:r>
      <w:r>
        <w:rPr>
          <w:rFonts w:ascii="Arial" w:hAnsi="Arial" w:cs="Arial"/>
          <w:b/>
          <w:sz w:val="24"/>
          <w:szCs w:val="24"/>
        </w:rPr>
        <w:t xml:space="preserve"> Sector Accommodation</w:t>
      </w:r>
    </w:p>
    <w:p w:rsidR="002D36CE" w:rsidRDefault="002D36CE" w:rsidP="00554570">
      <w:pPr>
        <w:jc w:val="both"/>
        <w:rPr>
          <w:rFonts w:ascii="Arial" w:hAnsi="Arial" w:cs="Arial"/>
        </w:rPr>
      </w:pPr>
      <w:r>
        <w:rPr>
          <w:rFonts w:ascii="Arial" w:hAnsi="Arial" w:cs="Arial"/>
        </w:rPr>
        <w:t>2.5.1</w:t>
      </w:r>
      <w:r>
        <w:rPr>
          <w:rFonts w:ascii="Arial" w:hAnsi="Arial" w:cs="Arial"/>
        </w:rPr>
        <w:tab/>
        <w:t>With the development of the Meadows, the University will no</w:t>
      </w:r>
      <w:r w:rsidR="004C19A9">
        <w:rPr>
          <w:rFonts w:ascii="Arial" w:hAnsi="Arial" w:cs="Arial"/>
        </w:rPr>
        <w:t xml:space="preserve"> longer</w:t>
      </w:r>
      <w:r>
        <w:rPr>
          <w:rFonts w:ascii="Arial" w:hAnsi="Arial" w:cs="Arial"/>
        </w:rPr>
        <w:t xml:space="preserve"> be required to outsource rooms at Avon Way and Forest Road in 2013/14</w:t>
      </w:r>
      <w:r w:rsidR="00CE256A">
        <w:rPr>
          <w:rFonts w:ascii="Arial" w:hAnsi="Arial" w:cs="Arial"/>
        </w:rPr>
        <w:t xml:space="preserve"> to support Accommodation Guarantees; and this will have a positive effect on reducing ongoing losses from this activity with the University bridging the gap between 39 week guarantees and 48 week lets.</w:t>
      </w:r>
    </w:p>
    <w:p w:rsidR="00CE256A" w:rsidRPr="002455FB" w:rsidRDefault="00CE256A" w:rsidP="00554570">
      <w:pPr>
        <w:jc w:val="both"/>
        <w:rPr>
          <w:rFonts w:ascii="Arial" w:hAnsi="Arial" w:cs="Arial"/>
        </w:rPr>
      </w:pPr>
      <w:r>
        <w:rPr>
          <w:rFonts w:ascii="Arial" w:hAnsi="Arial" w:cs="Arial"/>
        </w:rPr>
        <w:t>2.5.2</w:t>
      </w:r>
      <w:r>
        <w:rPr>
          <w:rFonts w:ascii="Arial" w:hAnsi="Arial" w:cs="Arial"/>
        </w:rPr>
        <w:tab/>
        <w:t>It has been confirmed the new student residential development at Kings Quays will not be completed for occupation in 2013/14. However, it is likely that returning students who had registered a request to take up accommodation at Kings Quays through the Students’ Union Letting Shop can all be offered rooms on campus to mitigate any disappointment.</w:t>
      </w:r>
    </w:p>
    <w:p w:rsidR="002455FB" w:rsidRPr="002455FB" w:rsidRDefault="002455FB" w:rsidP="00554570">
      <w:pPr>
        <w:jc w:val="both"/>
        <w:rPr>
          <w:rFonts w:ascii="Arial" w:hAnsi="Arial" w:cs="Arial"/>
          <w:b/>
          <w:sz w:val="16"/>
          <w:szCs w:val="16"/>
        </w:rPr>
      </w:pPr>
    </w:p>
    <w:p w:rsidR="00CE256A" w:rsidRPr="002455FB" w:rsidRDefault="00CE256A" w:rsidP="00554570">
      <w:pPr>
        <w:jc w:val="both"/>
        <w:rPr>
          <w:rFonts w:ascii="Arial" w:hAnsi="Arial" w:cs="Arial"/>
          <w:b/>
          <w:sz w:val="28"/>
          <w:szCs w:val="28"/>
        </w:rPr>
      </w:pPr>
      <w:r w:rsidRPr="00CE256A">
        <w:rPr>
          <w:rFonts w:ascii="Arial" w:hAnsi="Arial" w:cs="Arial"/>
          <w:b/>
          <w:sz w:val="28"/>
          <w:szCs w:val="28"/>
        </w:rPr>
        <w:t xml:space="preserve">3. </w:t>
      </w:r>
      <w:proofErr w:type="spellStart"/>
      <w:r w:rsidRPr="00CE256A">
        <w:rPr>
          <w:rFonts w:ascii="Arial" w:hAnsi="Arial" w:cs="Arial"/>
          <w:b/>
          <w:sz w:val="28"/>
          <w:szCs w:val="28"/>
        </w:rPr>
        <w:t>Southend</w:t>
      </w:r>
      <w:proofErr w:type="spellEnd"/>
    </w:p>
    <w:p w:rsidR="002455FB" w:rsidRPr="002455FB" w:rsidRDefault="002455FB" w:rsidP="00554570">
      <w:pPr>
        <w:jc w:val="both"/>
        <w:rPr>
          <w:rFonts w:ascii="Arial" w:hAnsi="Arial" w:cs="Arial"/>
          <w:sz w:val="16"/>
          <w:szCs w:val="16"/>
        </w:rPr>
      </w:pPr>
    </w:p>
    <w:p w:rsidR="00CE256A" w:rsidRDefault="00CE256A" w:rsidP="00554570">
      <w:pPr>
        <w:jc w:val="both"/>
        <w:rPr>
          <w:rFonts w:ascii="Arial" w:hAnsi="Arial" w:cs="Arial"/>
        </w:rPr>
      </w:pPr>
      <w:r>
        <w:rPr>
          <w:rFonts w:ascii="Arial" w:hAnsi="Arial" w:cs="Arial"/>
        </w:rPr>
        <w:t>3.1</w:t>
      </w:r>
      <w:r>
        <w:rPr>
          <w:rFonts w:ascii="Arial" w:hAnsi="Arial" w:cs="Arial"/>
        </w:rPr>
        <w:tab/>
      </w:r>
      <w:r w:rsidR="0086282C">
        <w:rPr>
          <w:rFonts w:ascii="Arial" w:hAnsi="Arial" w:cs="Arial"/>
        </w:rPr>
        <w:t>There is some negative feedback from returning students at Southend about the price of accommodation at University Square. This partly reflects the deals available in the local private res</w:t>
      </w:r>
      <w:r w:rsidR="004C19A9">
        <w:rPr>
          <w:rFonts w:ascii="Arial" w:hAnsi="Arial" w:cs="Arial"/>
        </w:rPr>
        <w:t xml:space="preserve">idential market, in which </w:t>
      </w:r>
      <w:r w:rsidR="0086282C">
        <w:rPr>
          <w:rFonts w:ascii="Arial" w:hAnsi="Arial" w:cs="Arial"/>
        </w:rPr>
        <w:t>landlords are forced aggressively to drive down rents to around £100 per week or lower, and even to look at promotional offers such as termly lettings to address the significant shortage of demand.</w:t>
      </w:r>
    </w:p>
    <w:p w:rsidR="0086282C" w:rsidRDefault="0086282C" w:rsidP="00554570">
      <w:pPr>
        <w:jc w:val="both"/>
        <w:rPr>
          <w:rFonts w:ascii="Arial" w:hAnsi="Arial" w:cs="Arial"/>
        </w:rPr>
      </w:pPr>
      <w:r>
        <w:rPr>
          <w:rFonts w:ascii="Arial" w:hAnsi="Arial" w:cs="Arial"/>
        </w:rPr>
        <w:t>3.2</w:t>
      </w:r>
      <w:r>
        <w:rPr>
          <w:rFonts w:ascii="Arial" w:hAnsi="Arial" w:cs="Arial"/>
        </w:rPr>
        <w:tab/>
        <w:t xml:space="preserve">University Square has delivered significant </w:t>
      </w:r>
      <w:r w:rsidR="00BD49F9">
        <w:rPr>
          <w:rFonts w:ascii="Arial" w:hAnsi="Arial" w:cs="Arial"/>
        </w:rPr>
        <w:t xml:space="preserve">trading </w:t>
      </w:r>
      <w:r>
        <w:rPr>
          <w:rFonts w:ascii="Arial" w:hAnsi="Arial" w:cs="Arial"/>
        </w:rPr>
        <w:t>deficits since it opened in September 2010 owing to a high level of voids</w:t>
      </w:r>
      <w:r w:rsidR="00BD49F9">
        <w:rPr>
          <w:rFonts w:ascii="Arial" w:hAnsi="Arial" w:cs="Arial"/>
        </w:rPr>
        <w:t>,</w:t>
      </w:r>
      <w:r>
        <w:rPr>
          <w:rFonts w:ascii="Arial" w:hAnsi="Arial" w:cs="Arial"/>
        </w:rPr>
        <w:t xml:space="preserve"> as detailed in the table below (Table </w:t>
      </w:r>
      <w:r w:rsidR="00FC60AF">
        <w:rPr>
          <w:rFonts w:ascii="Arial" w:hAnsi="Arial" w:cs="Arial"/>
        </w:rPr>
        <w:t>D</w:t>
      </w:r>
      <w:r>
        <w:rPr>
          <w:rFonts w:ascii="Arial" w:hAnsi="Arial" w:cs="Arial"/>
        </w:rPr>
        <w:t>).</w:t>
      </w:r>
    </w:p>
    <w:p w:rsidR="00FC60AF" w:rsidRPr="00541118" w:rsidRDefault="00FC60AF" w:rsidP="00554570">
      <w:pPr>
        <w:jc w:val="both"/>
        <w:rPr>
          <w:rFonts w:ascii="Arial" w:hAnsi="Arial" w:cs="Arial"/>
          <w:b/>
        </w:rPr>
      </w:pPr>
      <w:r w:rsidRPr="00541118">
        <w:rPr>
          <w:rFonts w:ascii="Arial" w:hAnsi="Arial" w:cs="Arial"/>
          <w:b/>
        </w:rPr>
        <w:t>Table D</w:t>
      </w:r>
    </w:p>
    <w:p w:rsidR="00FC60AF" w:rsidRDefault="00752246" w:rsidP="00554570">
      <w:pPr>
        <w:jc w:val="both"/>
        <w:rPr>
          <w:rFonts w:ascii="Arial" w:hAnsi="Arial" w:cs="Arial"/>
        </w:rPr>
      </w:pPr>
      <w:r w:rsidRPr="00752246">
        <w:rPr>
          <w:noProof/>
          <w:lang w:eastAsia="en-GB"/>
        </w:rPr>
        <w:drawing>
          <wp:inline distT="0" distB="0" distL="0" distR="0">
            <wp:extent cx="5731510" cy="2265419"/>
            <wp:effectExtent l="19050" t="0" r="254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5731510" cy="2265419"/>
                    </a:xfrm>
                    <a:prstGeom prst="rect">
                      <a:avLst/>
                    </a:prstGeom>
                    <a:noFill/>
                    <a:ln w="9525">
                      <a:noFill/>
                      <a:miter lim="800000"/>
                      <a:headEnd/>
                      <a:tailEnd/>
                    </a:ln>
                  </pic:spPr>
                </pic:pic>
              </a:graphicData>
            </a:graphic>
          </wp:inline>
        </w:drawing>
      </w:r>
    </w:p>
    <w:p w:rsidR="0086282C" w:rsidRDefault="0086282C" w:rsidP="00554570">
      <w:pPr>
        <w:jc w:val="both"/>
        <w:rPr>
          <w:rFonts w:ascii="Arial" w:hAnsi="Arial" w:cs="Arial"/>
        </w:rPr>
      </w:pPr>
      <w:r>
        <w:rPr>
          <w:rFonts w:ascii="Arial" w:hAnsi="Arial" w:cs="Arial"/>
        </w:rPr>
        <w:t>3.3</w:t>
      </w:r>
      <w:r>
        <w:rPr>
          <w:rFonts w:ascii="Arial" w:hAnsi="Arial" w:cs="Arial"/>
        </w:rPr>
        <w:tab/>
        <w:t>The Campus Services team has focused significant resources on developing marketing activity to increase residential occupancy at University Square with annual promotions to returning students</w:t>
      </w:r>
      <w:r w:rsidR="00BD49F9">
        <w:rPr>
          <w:rFonts w:ascii="Arial" w:hAnsi="Arial" w:cs="Arial"/>
        </w:rPr>
        <w:t xml:space="preserve"> linked to rental </w:t>
      </w:r>
      <w:r w:rsidR="0041297D">
        <w:rPr>
          <w:rFonts w:ascii="Arial" w:hAnsi="Arial" w:cs="Arial"/>
        </w:rPr>
        <w:t xml:space="preserve">price </w:t>
      </w:r>
      <w:r w:rsidR="00BD49F9">
        <w:rPr>
          <w:rFonts w:ascii="Arial" w:hAnsi="Arial" w:cs="Arial"/>
        </w:rPr>
        <w:t>freezes</w:t>
      </w:r>
      <w:r w:rsidR="0041297D">
        <w:rPr>
          <w:rFonts w:ascii="Arial" w:hAnsi="Arial" w:cs="Arial"/>
        </w:rPr>
        <w:t>, free summer vacation periods</w:t>
      </w:r>
      <w:r w:rsidR="00BD49F9">
        <w:rPr>
          <w:rFonts w:ascii="Arial" w:hAnsi="Arial" w:cs="Arial"/>
        </w:rPr>
        <w:t xml:space="preserve"> and prize draws. Consequently the uptake of rooms in the current academic year is </w:t>
      </w:r>
      <w:r w:rsidR="00050FC3">
        <w:rPr>
          <w:rFonts w:ascii="Arial" w:hAnsi="Arial" w:cs="Arial"/>
        </w:rPr>
        <w:t>74</w:t>
      </w:r>
      <w:r w:rsidR="00BD49F9" w:rsidRPr="00050FC3">
        <w:rPr>
          <w:rFonts w:ascii="Arial" w:hAnsi="Arial" w:cs="Arial"/>
        </w:rPr>
        <w:t>%</w:t>
      </w:r>
      <w:r w:rsidR="00BD49F9">
        <w:rPr>
          <w:rFonts w:ascii="Arial" w:hAnsi="Arial" w:cs="Arial"/>
        </w:rPr>
        <w:t xml:space="preserve"> which equates to a very </w:t>
      </w:r>
      <w:r w:rsidR="00BD49F9" w:rsidRPr="00050FC3">
        <w:rPr>
          <w:rFonts w:ascii="Arial" w:hAnsi="Arial" w:cs="Arial"/>
          <w:shd w:val="clear" w:color="auto" w:fill="FFFFFF" w:themeFill="background1"/>
        </w:rPr>
        <w:t xml:space="preserve">positive </w:t>
      </w:r>
      <w:r w:rsidR="00050FC3" w:rsidRPr="00050FC3">
        <w:rPr>
          <w:rFonts w:ascii="Arial" w:hAnsi="Arial" w:cs="Arial"/>
          <w:shd w:val="clear" w:color="auto" w:fill="FFFFFF" w:themeFill="background1"/>
        </w:rPr>
        <w:t>47</w:t>
      </w:r>
      <w:r w:rsidR="00BD49F9" w:rsidRPr="00050FC3">
        <w:rPr>
          <w:rFonts w:ascii="Arial" w:hAnsi="Arial" w:cs="Arial"/>
          <w:shd w:val="clear" w:color="auto" w:fill="FFFFFF" w:themeFill="background1"/>
        </w:rPr>
        <w:t>% of the e</w:t>
      </w:r>
      <w:r w:rsidR="00BD49F9">
        <w:rPr>
          <w:rFonts w:ascii="Arial" w:hAnsi="Arial" w:cs="Arial"/>
        </w:rPr>
        <w:t xml:space="preserve">ntire student body at Southend. (NB Sector research undertaken by Accommodation Essex disclosed that comparable ‘satellite campuses’ </w:t>
      </w:r>
      <w:r w:rsidR="004C19A9">
        <w:rPr>
          <w:rFonts w:ascii="Arial" w:hAnsi="Arial" w:cs="Arial"/>
        </w:rPr>
        <w:t xml:space="preserve">only </w:t>
      </w:r>
      <w:r w:rsidR="00BD49F9">
        <w:rPr>
          <w:rFonts w:ascii="Arial" w:hAnsi="Arial" w:cs="Arial"/>
        </w:rPr>
        <w:t>provided rooms for an average of 11% of their students).</w:t>
      </w:r>
    </w:p>
    <w:p w:rsidR="00BD49F9" w:rsidRDefault="00BD49F9" w:rsidP="00554570">
      <w:pPr>
        <w:jc w:val="both"/>
        <w:rPr>
          <w:rFonts w:ascii="Arial" w:hAnsi="Arial" w:cs="Arial"/>
        </w:rPr>
      </w:pPr>
      <w:r>
        <w:rPr>
          <w:rFonts w:ascii="Arial" w:hAnsi="Arial" w:cs="Arial"/>
        </w:rPr>
        <w:t>3.4</w:t>
      </w:r>
      <w:r>
        <w:rPr>
          <w:rFonts w:ascii="Arial" w:hAnsi="Arial" w:cs="Arial"/>
        </w:rPr>
        <w:tab/>
        <w:t>It is essential to note that a long-term sustainable financial model for University Square must be anchored on maintaining the integrity of the base rents with annual price increases no less than RPI.</w:t>
      </w:r>
    </w:p>
    <w:p w:rsidR="00570414" w:rsidRDefault="00BD49F9" w:rsidP="00554570">
      <w:pPr>
        <w:jc w:val="both"/>
        <w:rPr>
          <w:rFonts w:ascii="Arial" w:hAnsi="Arial" w:cs="Arial"/>
        </w:rPr>
      </w:pPr>
      <w:r>
        <w:rPr>
          <w:rFonts w:ascii="Arial" w:hAnsi="Arial" w:cs="Arial"/>
        </w:rPr>
        <w:t>3.5</w:t>
      </w:r>
      <w:r>
        <w:rPr>
          <w:rFonts w:ascii="Arial" w:hAnsi="Arial" w:cs="Arial"/>
        </w:rPr>
        <w:tab/>
        <w:t xml:space="preserve">A significant price reduction, </w:t>
      </w:r>
      <w:r w:rsidR="00664030">
        <w:rPr>
          <w:rFonts w:ascii="Arial" w:hAnsi="Arial" w:cs="Arial"/>
        </w:rPr>
        <w:t>perhaps in the region of 15% to 20%</w:t>
      </w:r>
      <w:r w:rsidR="0041297D">
        <w:rPr>
          <w:rFonts w:ascii="Arial" w:hAnsi="Arial" w:cs="Arial"/>
        </w:rPr>
        <w:t>,</w:t>
      </w:r>
      <w:r w:rsidR="00664030">
        <w:rPr>
          <w:rFonts w:ascii="Arial" w:hAnsi="Arial" w:cs="Arial"/>
        </w:rPr>
        <w:t xml:space="preserve"> </w:t>
      </w:r>
      <w:r>
        <w:rPr>
          <w:rFonts w:ascii="Arial" w:hAnsi="Arial" w:cs="Arial"/>
        </w:rPr>
        <w:t>which would be required to compete directly with th</w:t>
      </w:r>
      <w:r w:rsidR="0041297D">
        <w:rPr>
          <w:rFonts w:ascii="Arial" w:hAnsi="Arial" w:cs="Arial"/>
        </w:rPr>
        <w:t>e private sector,</w:t>
      </w:r>
      <w:r>
        <w:rPr>
          <w:rFonts w:ascii="Arial" w:hAnsi="Arial" w:cs="Arial"/>
        </w:rPr>
        <w:t xml:space="preserve"> would de-stabilize the entire financial model and lead to increased trading deficits w</w:t>
      </w:r>
      <w:r w:rsidR="00664030">
        <w:rPr>
          <w:rFonts w:ascii="Arial" w:hAnsi="Arial" w:cs="Arial"/>
        </w:rPr>
        <w:t>ith</w:t>
      </w:r>
      <w:r>
        <w:rPr>
          <w:rFonts w:ascii="Arial" w:hAnsi="Arial" w:cs="Arial"/>
        </w:rPr>
        <w:t xml:space="preserve"> no </w:t>
      </w:r>
      <w:r w:rsidR="0041297D">
        <w:rPr>
          <w:rFonts w:ascii="Arial" w:hAnsi="Arial" w:cs="Arial"/>
        </w:rPr>
        <w:t xml:space="preserve">realistic </w:t>
      </w:r>
      <w:r>
        <w:rPr>
          <w:rFonts w:ascii="Arial" w:hAnsi="Arial" w:cs="Arial"/>
        </w:rPr>
        <w:t>prospect of University Square ever achieving a break-even situation</w:t>
      </w:r>
      <w:r w:rsidR="00664030">
        <w:rPr>
          <w:rFonts w:ascii="Arial" w:hAnsi="Arial" w:cs="Arial"/>
        </w:rPr>
        <w:t xml:space="preserve"> (refer to Table </w:t>
      </w:r>
      <w:r w:rsidR="00541118">
        <w:rPr>
          <w:rFonts w:ascii="Arial" w:hAnsi="Arial" w:cs="Arial"/>
        </w:rPr>
        <w:t>E</w:t>
      </w:r>
      <w:r w:rsidR="00664030">
        <w:rPr>
          <w:rFonts w:ascii="Arial" w:hAnsi="Arial" w:cs="Arial"/>
        </w:rPr>
        <w:t>)</w:t>
      </w:r>
      <w:r>
        <w:rPr>
          <w:rFonts w:ascii="Arial" w:hAnsi="Arial" w:cs="Arial"/>
        </w:rPr>
        <w:t>.</w:t>
      </w:r>
    </w:p>
    <w:p w:rsidR="006736C0" w:rsidRDefault="006736C0" w:rsidP="00554570">
      <w:pPr>
        <w:jc w:val="both"/>
      </w:pPr>
      <w:r w:rsidRPr="006736C0">
        <w:rPr>
          <w:rFonts w:ascii="Arial" w:hAnsi="Arial" w:cs="Arial"/>
          <w:b/>
        </w:rPr>
        <w:t>Table E</w:t>
      </w:r>
    </w:p>
    <w:p w:rsidR="00570414" w:rsidRPr="006736C0" w:rsidRDefault="00752246" w:rsidP="00554570">
      <w:pPr>
        <w:jc w:val="both"/>
        <w:rPr>
          <w:rFonts w:ascii="Arial" w:hAnsi="Arial" w:cs="Arial"/>
          <w:b/>
        </w:rPr>
      </w:pPr>
      <w:r w:rsidRPr="00752246">
        <w:rPr>
          <w:noProof/>
          <w:lang w:eastAsia="en-GB"/>
        </w:rPr>
        <w:drawing>
          <wp:inline distT="0" distB="0" distL="0" distR="0">
            <wp:extent cx="4410075" cy="2667000"/>
            <wp:effectExtent l="19050" t="0" r="9525"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4410075" cy="2667000"/>
                    </a:xfrm>
                    <a:prstGeom prst="rect">
                      <a:avLst/>
                    </a:prstGeom>
                    <a:noFill/>
                    <a:ln w="9525">
                      <a:noFill/>
                      <a:miter lim="800000"/>
                      <a:headEnd/>
                      <a:tailEnd/>
                    </a:ln>
                  </pic:spPr>
                </pic:pic>
              </a:graphicData>
            </a:graphic>
          </wp:inline>
        </w:drawing>
      </w:r>
    </w:p>
    <w:p w:rsidR="00664030" w:rsidRDefault="00664030" w:rsidP="00554570">
      <w:pPr>
        <w:jc w:val="both"/>
        <w:rPr>
          <w:rFonts w:ascii="Arial" w:hAnsi="Arial" w:cs="Arial"/>
        </w:rPr>
      </w:pPr>
      <w:r>
        <w:rPr>
          <w:rFonts w:ascii="Arial" w:hAnsi="Arial" w:cs="Arial"/>
        </w:rPr>
        <w:t>3.6</w:t>
      </w:r>
      <w:r>
        <w:rPr>
          <w:rFonts w:ascii="Arial" w:hAnsi="Arial" w:cs="Arial"/>
        </w:rPr>
        <w:tab/>
        <w:t>The focus for 2013/14 has been to achieve an attractive and innovative rental deal, which offers best value and attracts returning students which are the key to increased occupancy, whilst maintaining the integrity of the base rental model.</w:t>
      </w:r>
    </w:p>
    <w:p w:rsidR="00664030" w:rsidRDefault="00664030" w:rsidP="00554570">
      <w:pPr>
        <w:jc w:val="both"/>
        <w:rPr>
          <w:rFonts w:ascii="Arial" w:hAnsi="Arial" w:cs="Arial"/>
        </w:rPr>
      </w:pPr>
      <w:r>
        <w:rPr>
          <w:rFonts w:ascii="Arial" w:hAnsi="Arial" w:cs="Arial"/>
        </w:rPr>
        <w:t>3.7</w:t>
      </w:r>
      <w:r>
        <w:rPr>
          <w:rFonts w:ascii="Arial" w:hAnsi="Arial" w:cs="Arial"/>
        </w:rPr>
        <w:tab/>
        <w:t>The</w:t>
      </w:r>
      <w:r w:rsidR="004C19A9">
        <w:rPr>
          <w:rFonts w:ascii="Arial" w:hAnsi="Arial" w:cs="Arial"/>
        </w:rPr>
        <w:t>refore, the</w:t>
      </w:r>
      <w:r>
        <w:rPr>
          <w:rFonts w:ascii="Arial" w:hAnsi="Arial" w:cs="Arial"/>
        </w:rPr>
        <w:t xml:space="preserve"> proposal developed for 2013/14 is to increase base rents by 4% which is marginally above RPI and in line with th</w:t>
      </w:r>
      <w:r w:rsidR="004C19A9">
        <w:rPr>
          <w:rFonts w:ascii="Arial" w:hAnsi="Arial" w:cs="Arial"/>
        </w:rPr>
        <w:t>e University financial forecast;</w:t>
      </w:r>
      <w:r w:rsidR="0041297D">
        <w:rPr>
          <w:rFonts w:ascii="Arial" w:hAnsi="Arial" w:cs="Arial"/>
        </w:rPr>
        <w:t xml:space="preserve"> but</w:t>
      </w:r>
      <w:r w:rsidR="004C19A9">
        <w:rPr>
          <w:rFonts w:ascii="Arial" w:hAnsi="Arial" w:cs="Arial"/>
        </w:rPr>
        <w:t xml:space="preserve"> also to</w:t>
      </w:r>
      <w:r>
        <w:rPr>
          <w:rFonts w:ascii="Arial" w:hAnsi="Arial" w:cs="Arial"/>
        </w:rPr>
        <w:t xml:space="preserve"> create a new </w:t>
      </w:r>
      <w:r w:rsidRPr="00664030">
        <w:rPr>
          <w:rFonts w:ascii="Arial" w:hAnsi="Arial" w:cs="Arial"/>
          <w:i/>
        </w:rPr>
        <w:t>‘best deal’</w:t>
      </w:r>
      <w:r>
        <w:rPr>
          <w:rFonts w:ascii="Arial" w:hAnsi="Arial" w:cs="Arial"/>
        </w:rPr>
        <w:t xml:space="preserve"> available to all students who sign up to a 2 year commitment of £115.15 per week fixed for 2 years, which constitutes a significant weekly saving of £9.59 in year 1 and £14.63 in year 2.</w:t>
      </w:r>
      <w:r w:rsidR="0041297D">
        <w:rPr>
          <w:rFonts w:ascii="Arial" w:hAnsi="Arial" w:cs="Arial"/>
        </w:rPr>
        <w:t xml:space="preserve"> The </w:t>
      </w:r>
      <w:r w:rsidR="0041297D" w:rsidRPr="0041297D">
        <w:rPr>
          <w:rFonts w:ascii="Arial" w:hAnsi="Arial" w:cs="Arial"/>
          <w:i/>
        </w:rPr>
        <w:t>‘best deal’</w:t>
      </w:r>
      <w:r w:rsidR="0041297D">
        <w:rPr>
          <w:rFonts w:ascii="Arial" w:hAnsi="Arial" w:cs="Arial"/>
        </w:rPr>
        <w:t xml:space="preserve"> would also include the middle summer vacation period, of up to 10 weeks depending on course length, free of charge.</w:t>
      </w:r>
    </w:p>
    <w:p w:rsidR="00664030" w:rsidRDefault="00664030" w:rsidP="00554570">
      <w:pPr>
        <w:jc w:val="both"/>
        <w:rPr>
          <w:rFonts w:ascii="Arial" w:hAnsi="Arial" w:cs="Arial"/>
        </w:rPr>
      </w:pPr>
      <w:r>
        <w:rPr>
          <w:rFonts w:ascii="Arial" w:hAnsi="Arial" w:cs="Arial"/>
        </w:rPr>
        <w:t xml:space="preserve">3.8 </w:t>
      </w:r>
      <w:r w:rsidR="002F40A9">
        <w:rPr>
          <w:rFonts w:ascii="Arial" w:hAnsi="Arial" w:cs="Arial"/>
        </w:rPr>
        <w:tab/>
      </w:r>
      <w:r>
        <w:rPr>
          <w:rFonts w:ascii="Arial" w:hAnsi="Arial" w:cs="Arial"/>
        </w:rPr>
        <w:t xml:space="preserve">This offer of £115.15 per week is genuinely comparable to the private sector as </w:t>
      </w:r>
      <w:r w:rsidR="002F40A9">
        <w:rPr>
          <w:rFonts w:ascii="Arial" w:hAnsi="Arial" w:cs="Arial"/>
        </w:rPr>
        <w:t xml:space="preserve">it </w:t>
      </w:r>
      <w:r>
        <w:rPr>
          <w:rFonts w:ascii="Arial" w:hAnsi="Arial" w:cs="Arial"/>
        </w:rPr>
        <w:t>is fixed for 2 years giving certainty for budgeting</w:t>
      </w:r>
      <w:r w:rsidR="002F40A9">
        <w:rPr>
          <w:rFonts w:ascii="Arial" w:hAnsi="Arial" w:cs="Arial"/>
        </w:rPr>
        <w:t xml:space="preserve">; includes broadband, </w:t>
      </w:r>
      <w:r w:rsidR="0041297D">
        <w:rPr>
          <w:rFonts w:ascii="Arial" w:hAnsi="Arial" w:cs="Arial"/>
        </w:rPr>
        <w:t xml:space="preserve">energy </w:t>
      </w:r>
      <w:r w:rsidR="002F40A9">
        <w:rPr>
          <w:rFonts w:ascii="Arial" w:hAnsi="Arial" w:cs="Arial"/>
        </w:rPr>
        <w:t xml:space="preserve">bills, on-site security and insurance; </w:t>
      </w:r>
      <w:r w:rsidR="0041297D">
        <w:rPr>
          <w:rFonts w:ascii="Arial" w:hAnsi="Arial" w:cs="Arial"/>
        </w:rPr>
        <w:t xml:space="preserve">does not require a </w:t>
      </w:r>
      <w:r w:rsidR="002455FB">
        <w:rPr>
          <w:rFonts w:ascii="Arial" w:hAnsi="Arial" w:cs="Arial"/>
        </w:rPr>
        <w:t xml:space="preserve">PG, </w:t>
      </w:r>
      <w:r w:rsidR="0041297D">
        <w:rPr>
          <w:rFonts w:ascii="Arial" w:hAnsi="Arial" w:cs="Arial"/>
        </w:rPr>
        <w:t xml:space="preserve">deposit or rental bond; </w:t>
      </w:r>
      <w:r w:rsidR="002F40A9">
        <w:rPr>
          <w:rFonts w:ascii="Arial" w:hAnsi="Arial" w:cs="Arial"/>
        </w:rPr>
        <w:t>and is based on 42 week tenancies rather than 50+ weeks in the private sector.</w:t>
      </w:r>
    </w:p>
    <w:p w:rsidR="002F40A9" w:rsidRDefault="0041297D" w:rsidP="00554570">
      <w:pPr>
        <w:jc w:val="both"/>
        <w:rPr>
          <w:rFonts w:ascii="Arial" w:hAnsi="Arial" w:cs="Arial"/>
        </w:rPr>
      </w:pPr>
      <w:r>
        <w:rPr>
          <w:rFonts w:ascii="Arial" w:hAnsi="Arial" w:cs="Arial"/>
        </w:rPr>
        <w:t>3.9</w:t>
      </w:r>
      <w:r>
        <w:rPr>
          <w:rFonts w:ascii="Arial" w:hAnsi="Arial" w:cs="Arial"/>
        </w:rPr>
        <w:tab/>
        <w:t>It is believed that t</w:t>
      </w:r>
      <w:r w:rsidR="002F40A9">
        <w:rPr>
          <w:rFonts w:ascii="Arial" w:hAnsi="Arial" w:cs="Arial"/>
        </w:rPr>
        <w:t xml:space="preserve">he 2 year fixed price deal </w:t>
      </w:r>
      <w:r w:rsidR="00EB73B3">
        <w:rPr>
          <w:rFonts w:ascii="Arial" w:hAnsi="Arial" w:cs="Arial"/>
        </w:rPr>
        <w:t>will</w:t>
      </w:r>
      <w:r w:rsidR="002F40A9">
        <w:rPr>
          <w:rFonts w:ascii="Arial" w:hAnsi="Arial" w:cs="Arial"/>
        </w:rPr>
        <w:t xml:space="preserve"> increase </w:t>
      </w:r>
      <w:r w:rsidR="004C19A9">
        <w:rPr>
          <w:rFonts w:ascii="Arial" w:hAnsi="Arial" w:cs="Arial"/>
        </w:rPr>
        <w:t xml:space="preserve">the number of </w:t>
      </w:r>
      <w:r w:rsidR="002F40A9">
        <w:rPr>
          <w:rFonts w:ascii="Arial" w:hAnsi="Arial" w:cs="Arial"/>
        </w:rPr>
        <w:t xml:space="preserve">returners in the University Square accommodation and hence improve the financial model to support sustainability as detailed below (Table </w:t>
      </w:r>
      <w:r w:rsidR="00887331">
        <w:rPr>
          <w:rFonts w:ascii="Arial" w:hAnsi="Arial" w:cs="Arial"/>
        </w:rPr>
        <w:t>F</w:t>
      </w:r>
      <w:r w:rsidR="002F40A9">
        <w:rPr>
          <w:rFonts w:ascii="Arial" w:hAnsi="Arial" w:cs="Arial"/>
        </w:rPr>
        <w:t>).</w:t>
      </w:r>
      <w:r w:rsidR="00752246">
        <w:rPr>
          <w:rFonts w:ascii="Arial" w:hAnsi="Arial" w:cs="Arial"/>
        </w:rPr>
        <w:t xml:space="preserve"> This forecast assumes 150 students will benefit from the 2 year tenancy.</w:t>
      </w:r>
    </w:p>
    <w:p w:rsidR="00752246" w:rsidRDefault="00752246" w:rsidP="00554570">
      <w:pPr>
        <w:jc w:val="both"/>
        <w:rPr>
          <w:rFonts w:ascii="Arial" w:hAnsi="Arial" w:cs="Arial"/>
        </w:rPr>
      </w:pPr>
    </w:p>
    <w:p w:rsidR="00887331" w:rsidRDefault="00887331" w:rsidP="00554570">
      <w:pPr>
        <w:jc w:val="both"/>
        <w:rPr>
          <w:rFonts w:ascii="Arial" w:hAnsi="Arial" w:cs="Arial"/>
          <w:b/>
        </w:rPr>
      </w:pPr>
      <w:r w:rsidRPr="00887331">
        <w:rPr>
          <w:rFonts w:ascii="Arial" w:hAnsi="Arial" w:cs="Arial"/>
          <w:b/>
        </w:rPr>
        <w:t>Table F</w:t>
      </w:r>
    </w:p>
    <w:p w:rsidR="000142C5" w:rsidRDefault="000142C5" w:rsidP="00554570">
      <w:pPr>
        <w:jc w:val="both"/>
        <w:rPr>
          <w:rFonts w:ascii="Arial" w:hAnsi="Arial" w:cs="Arial"/>
          <w:b/>
        </w:rPr>
      </w:pPr>
      <w:r w:rsidRPr="000142C5">
        <w:rPr>
          <w:noProof/>
          <w:lang w:eastAsia="en-GB"/>
        </w:rPr>
        <w:drawing>
          <wp:inline distT="0" distB="0" distL="0" distR="0">
            <wp:extent cx="5731510" cy="2275164"/>
            <wp:effectExtent l="1905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srcRect/>
                    <a:stretch>
                      <a:fillRect/>
                    </a:stretch>
                  </pic:blipFill>
                  <pic:spPr bwMode="auto">
                    <a:xfrm>
                      <a:off x="0" y="0"/>
                      <a:ext cx="5731510" cy="2275164"/>
                    </a:xfrm>
                    <a:prstGeom prst="rect">
                      <a:avLst/>
                    </a:prstGeom>
                    <a:noFill/>
                    <a:ln w="9525">
                      <a:noFill/>
                      <a:miter lim="800000"/>
                      <a:headEnd/>
                      <a:tailEnd/>
                    </a:ln>
                  </pic:spPr>
                </pic:pic>
              </a:graphicData>
            </a:graphic>
          </wp:inline>
        </w:drawing>
      </w:r>
    </w:p>
    <w:p w:rsidR="00887331" w:rsidRPr="00887331" w:rsidRDefault="00887331" w:rsidP="00554570">
      <w:pPr>
        <w:jc w:val="both"/>
        <w:rPr>
          <w:rFonts w:ascii="Arial" w:hAnsi="Arial" w:cs="Arial"/>
          <w:b/>
        </w:rPr>
      </w:pPr>
    </w:p>
    <w:p w:rsidR="002F40A9" w:rsidRDefault="002F40A9" w:rsidP="00554570">
      <w:pPr>
        <w:jc w:val="both"/>
        <w:rPr>
          <w:rFonts w:ascii="Arial" w:hAnsi="Arial" w:cs="Arial"/>
          <w:b/>
          <w:i/>
        </w:rPr>
      </w:pPr>
      <w:r>
        <w:rPr>
          <w:rFonts w:ascii="Arial" w:hAnsi="Arial" w:cs="Arial"/>
        </w:rPr>
        <w:t>3.10</w:t>
      </w:r>
      <w:r>
        <w:rPr>
          <w:rFonts w:ascii="Arial" w:hAnsi="Arial" w:cs="Arial"/>
        </w:rPr>
        <w:tab/>
      </w:r>
      <w:r w:rsidRPr="002F40A9">
        <w:rPr>
          <w:rFonts w:ascii="Arial" w:hAnsi="Arial" w:cs="Arial"/>
          <w:b/>
          <w:i/>
        </w:rPr>
        <w:t>USG is therefore requested to approve the proposed 4% increase to the base rents at University Square and to endorse the new 2 year fixed price rental offer.</w:t>
      </w:r>
    </w:p>
    <w:p w:rsidR="00EB73B3" w:rsidRDefault="00EB73B3" w:rsidP="00554570">
      <w:pPr>
        <w:jc w:val="both"/>
        <w:rPr>
          <w:rFonts w:ascii="Arial" w:hAnsi="Arial" w:cs="Arial"/>
          <w:b/>
          <w:sz w:val="16"/>
          <w:szCs w:val="16"/>
        </w:rPr>
      </w:pPr>
    </w:p>
    <w:p w:rsidR="00752246" w:rsidRDefault="00752246" w:rsidP="00554570">
      <w:pPr>
        <w:jc w:val="both"/>
        <w:rPr>
          <w:rFonts w:ascii="Arial" w:hAnsi="Arial" w:cs="Arial"/>
          <w:b/>
          <w:sz w:val="16"/>
          <w:szCs w:val="16"/>
        </w:rPr>
      </w:pPr>
    </w:p>
    <w:p w:rsidR="00752246" w:rsidRDefault="00752246" w:rsidP="00554570">
      <w:pPr>
        <w:jc w:val="both"/>
        <w:rPr>
          <w:rFonts w:ascii="Arial" w:hAnsi="Arial" w:cs="Arial"/>
          <w:b/>
          <w:sz w:val="16"/>
          <w:szCs w:val="16"/>
        </w:rPr>
      </w:pPr>
    </w:p>
    <w:p w:rsidR="00752246" w:rsidRDefault="00752246" w:rsidP="00554570">
      <w:pPr>
        <w:jc w:val="both"/>
        <w:rPr>
          <w:rFonts w:ascii="Arial" w:hAnsi="Arial" w:cs="Arial"/>
          <w:b/>
          <w:sz w:val="16"/>
          <w:szCs w:val="16"/>
        </w:rPr>
      </w:pPr>
    </w:p>
    <w:p w:rsidR="00752246" w:rsidRPr="00EB73B3" w:rsidRDefault="00752246" w:rsidP="00554570">
      <w:pPr>
        <w:jc w:val="both"/>
        <w:rPr>
          <w:rFonts w:ascii="Arial" w:hAnsi="Arial" w:cs="Arial"/>
          <w:b/>
          <w:sz w:val="16"/>
          <w:szCs w:val="16"/>
        </w:rPr>
      </w:pPr>
    </w:p>
    <w:p w:rsidR="002F40A9" w:rsidRDefault="002F40A9" w:rsidP="00554570">
      <w:pPr>
        <w:jc w:val="both"/>
        <w:rPr>
          <w:rFonts w:ascii="Arial" w:hAnsi="Arial" w:cs="Arial"/>
          <w:b/>
          <w:sz w:val="28"/>
          <w:szCs w:val="28"/>
        </w:rPr>
      </w:pPr>
      <w:r w:rsidRPr="002F40A9">
        <w:rPr>
          <w:rFonts w:ascii="Arial" w:hAnsi="Arial" w:cs="Arial"/>
          <w:b/>
          <w:sz w:val="28"/>
          <w:szCs w:val="28"/>
        </w:rPr>
        <w:t>4. Summary</w:t>
      </w:r>
    </w:p>
    <w:p w:rsidR="002F40A9" w:rsidRPr="002F40A9" w:rsidRDefault="002F40A9" w:rsidP="00554570">
      <w:pPr>
        <w:jc w:val="both"/>
        <w:rPr>
          <w:rFonts w:ascii="Arial" w:hAnsi="Arial" w:cs="Arial"/>
          <w:sz w:val="16"/>
          <w:szCs w:val="16"/>
        </w:rPr>
      </w:pPr>
    </w:p>
    <w:p w:rsidR="002F40A9" w:rsidRDefault="002F40A9" w:rsidP="00554570">
      <w:pPr>
        <w:jc w:val="both"/>
        <w:rPr>
          <w:rFonts w:ascii="Arial" w:hAnsi="Arial" w:cs="Arial"/>
        </w:rPr>
      </w:pPr>
      <w:r w:rsidRPr="002F40A9">
        <w:rPr>
          <w:rFonts w:ascii="Arial" w:hAnsi="Arial" w:cs="Arial"/>
        </w:rPr>
        <w:t>4.1</w:t>
      </w:r>
      <w:r w:rsidRPr="002F40A9">
        <w:rPr>
          <w:rFonts w:ascii="Arial" w:hAnsi="Arial" w:cs="Arial"/>
        </w:rPr>
        <w:tab/>
      </w:r>
      <w:r>
        <w:rPr>
          <w:rFonts w:ascii="Arial" w:hAnsi="Arial" w:cs="Arial"/>
        </w:rPr>
        <w:t xml:space="preserve">The full schedule of proposed rents for 2013/14 is included in Appendix </w:t>
      </w:r>
      <w:r w:rsidR="000D70A9">
        <w:rPr>
          <w:rFonts w:ascii="Arial" w:hAnsi="Arial" w:cs="Arial"/>
        </w:rPr>
        <w:t>B</w:t>
      </w:r>
      <w:r>
        <w:rPr>
          <w:rFonts w:ascii="Arial" w:hAnsi="Arial" w:cs="Arial"/>
        </w:rPr>
        <w:t>.</w:t>
      </w:r>
    </w:p>
    <w:p w:rsidR="002F40A9" w:rsidRDefault="002F40A9" w:rsidP="00554570">
      <w:pPr>
        <w:jc w:val="both"/>
        <w:rPr>
          <w:rFonts w:ascii="Arial" w:hAnsi="Arial" w:cs="Arial"/>
        </w:rPr>
      </w:pPr>
      <w:r>
        <w:rPr>
          <w:rFonts w:ascii="Arial" w:hAnsi="Arial" w:cs="Arial"/>
        </w:rPr>
        <w:t>4.2</w:t>
      </w:r>
      <w:r>
        <w:rPr>
          <w:rFonts w:ascii="Arial" w:hAnsi="Arial" w:cs="Arial"/>
        </w:rPr>
        <w:tab/>
        <w:t>These rents are projected to deliver a surplus in line with the Campus Services 2013/14 draft budget and the University financial forecast.</w:t>
      </w:r>
    </w:p>
    <w:p w:rsidR="000142C5" w:rsidRDefault="000142C5" w:rsidP="00554570">
      <w:pPr>
        <w:jc w:val="both"/>
        <w:rPr>
          <w:rFonts w:ascii="Arial" w:hAnsi="Arial" w:cs="Arial"/>
          <w:b/>
          <w:i/>
          <w:sz w:val="20"/>
          <w:szCs w:val="20"/>
        </w:rPr>
      </w:pPr>
    </w:p>
    <w:p w:rsidR="002F40A9" w:rsidRPr="002F40A9" w:rsidRDefault="00477C19" w:rsidP="00554570">
      <w:pPr>
        <w:jc w:val="both"/>
        <w:rPr>
          <w:rFonts w:ascii="Arial" w:hAnsi="Arial" w:cs="Arial"/>
          <w:b/>
          <w:i/>
          <w:sz w:val="20"/>
          <w:szCs w:val="20"/>
        </w:rPr>
      </w:pPr>
      <w:r>
        <w:rPr>
          <w:rFonts w:ascii="Arial" w:hAnsi="Arial" w:cs="Arial"/>
          <w:b/>
          <w:i/>
          <w:sz w:val="20"/>
          <w:szCs w:val="20"/>
        </w:rPr>
        <w:t>23</w:t>
      </w:r>
      <w:r w:rsidR="002F40A9" w:rsidRPr="002F40A9">
        <w:rPr>
          <w:rFonts w:ascii="Arial" w:hAnsi="Arial" w:cs="Arial"/>
          <w:b/>
          <w:i/>
          <w:sz w:val="20"/>
          <w:szCs w:val="20"/>
        </w:rPr>
        <w:t xml:space="preserve"> January 2013</w:t>
      </w:r>
    </w:p>
    <w:p w:rsidR="002F40A9" w:rsidRPr="002F40A9" w:rsidRDefault="002F40A9" w:rsidP="00554570">
      <w:pPr>
        <w:jc w:val="both"/>
        <w:rPr>
          <w:rFonts w:ascii="Arial" w:hAnsi="Arial" w:cs="Arial"/>
          <w:b/>
          <w:i/>
          <w:sz w:val="20"/>
          <w:szCs w:val="20"/>
        </w:rPr>
      </w:pPr>
    </w:p>
    <w:p w:rsidR="002F40A9" w:rsidRPr="002F40A9" w:rsidRDefault="002F40A9" w:rsidP="00554570">
      <w:pPr>
        <w:jc w:val="both"/>
        <w:rPr>
          <w:rFonts w:ascii="Arial" w:hAnsi="Arial" w:cs="Arial"/>
          <w:b/>
          <w:i/>
          <w:sz w:val="20"/>
          <w:szCs w:val="20"/>
        </w:rPr>
      </w:pPr>
      <w:r w:rsidRPr="002F40A9">
        <w:rPr>
          <w:rFonts w:ascii="Arial" w:hAnsi="Arial" w:cs="Arial"/>
          <w:b/>
          <w:i/>
          <w:sz w:val="20"/>
          <w:szCs w:val="20"/>
        </w:rPr>
        <w:t>Peter J Church BA (Oxon) – Director of Campus Services</w:t>
      </w:r>
    </w:p>
    <w:p w:rsidR="002F40A9" w:rsidRPr="002F40A9" w:rsidRDefault="002F40A9" w:rsidP="00554570">
      <w:pPr>
        <w:jc w:val="both"/>
        <w:rPr>
          <w:rFonts w:ascii="Arial" w:hAnsi="Arial" w:cs="Arial"/>
          <w:b/>
          <w:i/>
          <w:sz w:val="20"/>
          <w:szCs w:val="20"/>
        </w:rPr>
      </w:pPr>
      <w:r w:rsidRPr="002F40A9">
        <w:rPr>
          <w:rFonts w:ascii="Arial" w:hAnsi="Arial" w:cs="Arial"/>
          <w:b/>
          <w:i/>
          <w:sz w:val="20"/>
          <w:szCs w:val="20"/>
        </w:rPr>
        <w:t xml:space="preserve">Angela Treagust – Deputy Director Finance </w:t>
      </w:r>
      <w:r>
        <w:rPr>
          <w:rFonts w:ascii="Arial" w:hAnsi="Arial" w:cs="Arial"/>
          <w:b/>
          <w:i/>
          <w:sz w:val="20"/>
          <w:szCs w:val="20"/>
        </w:rPr>
        <w:t>(UECS)</w:t>
      </w:r>
    </w:p>
    <w:p w:rsidR="002F40A9" w:rsidRPr="002F40A9" w:rsidRDefault="002F40A9" w:rsidP="00554570">
      <w:pPr>
        <w:jc w:val="both"/>
        <w:rPr>
          <w:rFonts w:ascii="Arial" w:hAnsi="Arial" w:cs="Arial"/>
        </w:rPr>
      </w:pPr>
    </w:p>
    <w:p w:rsidR="00664030" w:rsidRDefault="00664030" w:rsidP="00554570">
      <w:pPr>
        <w:jc w:val="both"/>
        <w:rPr>
          <w:rFonts w:ascii="Arial" w:hAnsi="Arial" w:cs="Arial"/>
        </w:rPr>
      </w:pPr>
    </w:p>
    <w:p w:rsidR="00CE5B58" w:rsidRDefault="00CE5B58" w:rsidP="00554570">
      <w:pPr>
        <w:jc w:val="both"/>
        <w:rPr>
          <w:rFonts w:ascii="Arial" w:hAnsi="Arial" w:cs="Arial"/>
        </w:rPr>
      </w:pPr>
    </w:p>
    <w:p w:rsidR="000D70A9" w:rsidRDefault="000D70A9" w:rsidP="00554570">
      <w:pPr>
        <w:jc w:val="both"/>
        <w:rPr>
          <w:rFonts w:ascii="Arial" w:hAnsi="Arial" w:cs="Arial"/>
        </w:rPr>
      </w:pPr>
    </w:p>
    <w:p w:rsidR="000D70A9" w:rsidRDefault="000D70A9" w:rsidP="00554570">
      <w:pPr>
        <w:jc w:val="both"/>
        <w:rPr>
          <w:rFonts w:ascii="Arial" w:hAnsi="Arial" w:cs="Arial"/>
        </w:rPr>
      </w:pPr>
    </w:p>
    <w:p w:rsidR="000D70A9" w:rsidRDefault="000D70A9" w:rsidP="00554570">
      <w:pPr>
        <w:jc w:val="both"/>
        <w:rPr>
          <w:rFonts w:ascii="Arial" w:hAnsi="Arial" w:cs="Arial"/>
        </w:rPr>
      </w:pPr>
    </w:p>
    <w:p w:rsidR="000D70A9" w:rsidRDefault="000D70A9" w:rsidP="00554570">
      <w:pPr>
        <w:jc w:val="both"/>
        <w:rPr>
          <w:rFonts w:ascii="Arial" w:hAnsi="Arial" w:cs="Arial"/>
        </w:rPr>
      </w:pPr>
    </w:p>
    <w:p w:rsidR="000D70A9" w:rsidRDefault="000D70A9" w:rsidP="00554570">
      <w:pPr>
        <w:jc w:val="both"/>
        <w:rPr>
          <w:rFonts w:ascii="Arial" w:hAnsi="Arial" w:cs="Arial"/>
        </w:rPr>
      </w:pPr>
    </w:p>
    <w:p w:rsidR="000D70A9" w:rsidRDefault="000D70A9" w:rsidP="00554570">
      <w:pPr>
        <w:jc w:val="both"/>
        <w:rPr>
          <w:rFonts w:ascii="Arial" w:hAnsi="Arial" w:cs="Arial"/>
        </w:rPr>
      </w:pPr>
    </w:p>
    <w:p w:rsidR="000D70A9" w:rsidRDefault="000D70A9" w:rsidP="00554570">
      <w:pPr>
        <w:jc w:val="both"/>
        <w:rPr>
          <w:rFonts w:ascii="Arial" w:hAnsi="Arial" w:cs="Arial"/>
        </w:rPr>
      </w:pPr>
    </w:p>
    <w:p w:rsidR="00CE5B58" w:rsidRDefault="00CE5B58" w:rsidP="00554570">
      <w:pPr>
        <w:jc w:val="both"/>
        <w:rPr>
          <w:rFonts w:ascii="Arial" w:hAnsi="Arial" w:cs="Arial"/>
        </w:rPr>
      </w:pPr>
    </w:p>
    <w:p w:rsidR="00EE7ADD" w:rsidRDefault="00EE7ADD" w:rsidP="00554570">
      <w:pPr>
        <w:jc w:val="both"/>
        <w:rPr>
          <w:rFonts w:ascii="Arial" w:hAnsi="Arial" w:cs="Arial"/>
        </w:rPr>
      </w:pPr>
    </w:p>
    <w:p w:rsidR="00EE7ADD" w:rsidRDefault="00EE7ADD" w:rsidP="00554570">
      <w:pPr>
        <w:jc w:val="both"/>
        <w:rPr>
          <w:rFonts w:ascii="Arial" w:hAnsi="Arial" w:cs="Arial"/>
        </w:rPr>
      </w:pPr>
    </w:p>
    <w:p w:rsidR="00EE7ADD" w:rsidRDefault="00EE7ADD" w:rsidP="00554570">
      <w:pPr>
        <w:jc w:val="both"/>
        <w:rPr>
          <w:rFonts w:ascii="Arial" w:hAnsi="Arial" w:cs="Arial"/>
        </w:rPr>
      </w:pPr>
    </w:p>
    <w:p w:rsidR="00EE7ADD" w:rsidRDefault="00EE7ADD" w:rsidP="00554570">
      <w:pPr>
        <w:jc w:val="both"/>
        <w:rPr>
          <w:rFonts w:ascii="Arial" w:hAnsi="Arial" w:cs="Arial"/>
        </w:rPr>
      </w:pPr>
    </w:p>
    <w:p w:rsidR="00EE7ADD" w:rsidRDefault="00EE7ADD" w:rsidP="00554570">
      <w:pPr>
        <w:jc w:val="both"/>
        <w:rPr>
          <w:rFonts w:ascii="Arial" w:hAnsi="Arial" w:cs="Arial"/>
        </w:rPr>
      </w:pPr>
    </w:p>
    <w:p w:rsidR="00EE7ADD" w:rsidRDefault="00EE7ADD" w:rsidP="00554570">
      <w:pPr>
        <w:jc w:val="both"/>
        <w:rPr>
          <w:rFonts w:ascii="Arial" w:hAnsi="Arial" w:cs="Arial"/>
        </w:rPr>
      </w:pPr>
    </w:p>
    <w:p w:rsidR="00EE7ADD" w:rsidRDefault="00EE7ADD" w:rsidP="00554570">
      <w:pPr>
        <w:jc w:val="both"/>
        <w:rPr>
          <w:rFonts w:ascii="Arial" w:hAnsi="Arial" w:cs="Arial"/>
        </w:rPr>
      </w:pPr>
    </w:p>
    <w:p w:rsidR="00EE7ADD" w:rsidRDefault="00EE7ADD" w:rsidP="00554570">
      <w:pPr>
        <w:jc w:val="both"/>
        <w:rPr>
          <w:rFonts w:ascii="Arial" w:hAnsi="Arial" w:cs="Arial"/>
        </w:rPr>
      </w:pPr>
    </w:p>
    <w:p w:rsidR="00CE5B58" w:rsidRDefault="00CE5B58" w:rsidP="00554570">
      <w:pPr>
        <w:jc w:val="both"/>
        <w:rPr>
          <w:rFonts w:ascii="Arial" w:hAnsi="Arial" w:cs="Arial"/>
          <w:b/>
        </w:rPr>
      </w:pPr>
      <w:r w:rsidRPr="00CE5B58">
        <w:rPr>
          <w:rFonts w:ascii="Arial" w:hAnsi="Arial" w:cs="Arial"/>
          <w:b/>
        </w:rPr>
        <w:t>Appendix A</w:t>
      </w:r>
    </w:p>
    <w:p w:rsidR="00CE5B58" w:rsidRPr="00CE5B58" w:rsidRDefault="00EE7ADD" w:rsidP="00554570">
      <w:pPr>
        <w:jc w:val="both"/>
        <w:rPr>
          <w:rFonts w:ascii="Arial" w:hAnsi="Arial" w:cs="Arial"/>
          <w:b/>
        </w:rPr>
      </w:pPr>
      <w:r w:rsidRPr="00EE7ADD">
        <w:rPr>
          <w:noProof/>
          <w:lang w:eastAsia="en-GB"/>
        </w:rPr>
        <w:drawing>
          <wp:inline distT="0" distB="0" distL="0" distR="0">
            <wp:extent cx="5731510" cy="8421622"/>
            <wp:effectExtent l="1905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srcRect/>
                    <a:stretch>
                      <a:fillRect/>
                    </a:stretch>
                  </pic:blipFill>
                  <pic:spPr bwMode="auto">
                    <a:xfrm>
                      <a:off x="0" y="0"/>
                      <a:ext cx="5731510" cy="8421622"/>
                    </a:xfrm>
                    <a:prstGeom prst="rect">
                      <a:avLst/>
                    </a:prstGeom>
                    <a:noFill/>
                    <a:ln w="9525">
                      <a:noFill/>
                      <a:miter lim="800000"/>
                      <a:headEnd/>
                      <a:tailEnd/>
                    </a:ln>
                  </pic:spPr>
                </pic:pic>
              </a:graphicData>
            </a:graphic>
          </wp:inline>
        </w:drawing>
      </w:r>
    </w:p>
    <w:p w:rsidR="000D70A9" w:rsidRDefault="000D70A9" w:rsidP="00554570">
      <w:pPr>
        <w:jc w:val="both"/>
        <w:rPr>
          <w:rFonts w:ascii="Arial" w:hAnsi="Arial" w:cs="Arial"/>
          <w:b/>
        </w:rPr>
      </w:pPr>
      <w:r w:rsidRPr="000D70A9">
        <w:rPr>
          <w:rFonts w:ascii="Arial" w:hAnsi="Arial" w:cs="Arial"/>
          <w:b/>
        </w:rPr>
        <w:t>Appendix B</w:t>
      </w:r>
    </w:p>
    <w:p w:rsidR="000D70A9" w:rsidRDefault="000D70A9" w:rsidP="00554570">
      <w:pPr>
        <w:jc w:val="both"/>
        <w:rPr>
          <w:rFonts w:ascii="Arial" w:hAnsi="Arial" w:cs="Arial"/>
          <w:b/>
        </w:rPr>
      </w:pPr>
      <w:r w:rsidRPr="000D70A9">
        <w:rPr>
          <w:noProof/>
          <w:lang w:eastAsia="en-GB"/>
        </w:rPr>
        <w:drawing>
          <wp:inline distT="0" distB="0" distL="0" distR="0">
            <wp:extent cx="5731510" cy="5847208"/>
            <wp:effectExtent l="1905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srcRect/>
                    <a:stretch>
                      <a:fillRect/>
                    </a:stretch>
                  </pic:blipFill>
                  <pic:spPr bwMode="auto">
                    <a:xfrm>
                      <a:off x="0" y="0"/>
                      <a:ext cx="5731510" cy="5847208"/>
                    </a:xfrm>
                    <a:prstGeom prst="rect">
                      <a:avLst/>
                    </a:prstGeom>
                    <a:noFill/>
                    <a:ln w="9525">
                      <a:noFill/>
                      <a:miter lim="800000"/>
                      <a:headEnd/>
                      <a:tailEnd/>
                    </a:ln>
                  </pic:spPr>
                </pic:pic>
              </a:graphicData>
            </a:graphic>
          </wp:inline>
        </w:drawing>
      </w:r>
    </w:p>
    <w:p w:rsidR="000D70A9" w:rsidRDefault="000D70A9" w:rsidP="00554570">
      <w:pPr>
        <w:jc w:val="both"/>
        <w:rPr>
          <w:rFonts w:ascii="Arial" w:hAnsi="Arial" w:cs="Arial"/>
          <w:b/>
        </w:rPr>
      </w:pPr>
    </w:p>
    <w:p w:rsidR="000D70A9" w:rsidRDefault="000D70A9" w:rsidP="00554570">
      <w:pPr>
        <w:jc w:val="both"/>
        <w:rPr>
          <w:rFonts w:ascii="Arial" w:hAnsi="Arial" w:cs="Arial"/>
          <w:b/>
        </w:rPr>
      </w:pPr>
      <w:r>
        <w:rPr>
          <w:rFonts w:ascii="Arial" w:hAnsi="Arial" w:cs="Arial"/>
          <w:b/>
        </w:rPr>
        <w:t>Southend</w:t>
      </w:r>
    </w:p>
    <w:p w:rsidR="000D70A9" w:rsidRPr="000D70A9" w:rsidRDefault="000D70A9" w:rsidP="00554570">
      <w:pPr>
        <w:jc w:val="both"/>
        <w:rPr>
          <w:rFonts w:ascii="Arial" w:hAnsi="Arial" w:cs="Arial"/>
          <w:b/>
        </w:rPr>
      </w:pPr>
      <w:r w:rsidRPr="000D70A9">
        <w:rPr>
          <w:noProof/>
          <w:lang w:eastAsia="en-GB"/>
        </w:rPr>
        <w:drawing>
          <wp:inline distT="0" distB="0" distL="0" distR="0">
            <wp:extent cx="5731510" cy="1368719"/>
            <wp:effectExtent l="1905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a:stretch>
                      <a:fillRect/>
                    </a:stretch>
                  </pic:blipFill>
                  <pic:spPr bwMode="auto">
                    <a:xfrm>
                      <a:off x="0" y="0"/>
                      <a:ext cx="5731510" cy="1368719"/>
                    </a:xfrm>
                    <a:prstGeom prst="rect">
                      <a:avLst/>
                    </a:prstGeom>
                    <a:noFill/>
                    <a:ln w="9525">
                      <a:noFill/>
                      <a:miter lim="800000"/>
                      <a:headEnd/>
                      <a:tailEnd/>
                    </a:ln>
                  </pic:spPr>
                </pic:pic>
              </a:graphicData>
            </a:graphic>
          </wp:inline>
        </w:drawing>
      </w:r>
    </w:p>
    <w:sectPr w:rsidR="000D70A9" w:rsidRPr="000D70A9" w:rsidSect="002B7A92">
      <w:footerReference w:type="default" r:id="rId1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4A8" w:rsidRDefault="00F714A8" w:rsidP="006400F1">
      <w:pPr>
        <w:spacing w:after="0" w:line="240" w:lineRule="auto"/>
      </w:pPr>
      <w:r>
        <w:separator/>
      </w:r>
    </w:p>
  </w:endnote>
  <w:endnote w:type="continuationSeparator" w:id="0">
    <w:p w:rsidR="00F714A8" w:rsidRDefault="00F714A8" w:rsidP="006400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126313"/>
      <w:docPartObj>
        <w:docPartGallery w:val="Page Numbers (Bottom of Page)"/>
        <w:docPartUnique/>
      </w:docPartObj>
    </w:sdtPr>
    <w:sdtContent>
      <w:p w:rsidR="0041297D" w:rsidRDefault="000243E9">
        <w:pPr>
          <w:pStyle w:val="Footer"/>
          <w:jc w:val="center"/>
        </w:pPr>
        <w:fldSimple w:instr=" PAGE   \* MERGEFORMAT ">
          <w:r w:rsidR="00477C19">
            <w:rPr>
              <w:noProof/>
            </w:rPr>
            <w:t>1</w:t>
          </w:r>
        </w:fldSimple>
      </w:p>
    </w:sdtContent>
  </w:sdt>
  <w:p w:rsidR="0041297D" w:rsidRDefault="004129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4A8" w:rsidRDefault="00F714A8" w:rsidP="006400F1">
      <w:pPr>
        <w:spacing w:after="0" w:line="240" w:lineRule="auto"/>
      </w:pPr>
      <w:r>
        <w:separator/>
      </w:r>
    </w:p>
  </w:footnote>
  <w:footnote w:type="continuationSeparator" w:id="0">
    <w:p w:rsidR="00F714A8" w:rsidRDefault="00F714A8" w:rsidP="006400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761A0"/>
    <w:multiLevelType w:val="hybridMultilevel"/>
    <w:tmpl w:val="9B2EA268"/>
    <w:lvl w:ilvl="0" w:tplc="1B9EC416">
      <w:start w:val="1"/>
      <w:numFmt w:val="low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B0390F"/>
    <w:multiLevelType w:val="hybridMultilevel"/>
    <w:tmpl w:val="678244A0"/>
    <w:lvl w:ilvl="0" w:tplc="0809000F">
      <w:start w:val="1"/>
      <w:numFmt w:val="decimal"/>
      <w:lvlText w:val="%1."/>
      <w:lvlJc w:val="left"/>
      <w:pPr>
        <w:ind w:left="2160" w:hanging="360"/>
      </w:pPr>
      <w:rPr>
        <w:rFonts w:cs="Times New Roman"/>
      </w:rPr>
    </w:lvl>
    <w:lvl w:ilvl="1" w:tplc="08090019">
      <w:start w:val="1"/>
      <w:numFmt w:val="decimal"/>
      <w:lvlText w:val="%2."/>
      <w:lvlJc w:val="left"/>
      <w:pPr>
        <w:tabs>
          <w:tab w:val="num" w:pos="2880"/>
        </w:tabs>
        <w:ind w:left="2880" w:hanging="360"/>
      </w:pPr>
    </w:lvl>
    <w:lvl w:ilvl="2" w:tplc="0809001B">
      <w:start w:val="1"/>
      <w:numFmt w:val="decimal"/>
      <w:lvlText w:val="%3."/>
      <w:lvlJc w:val="left"/>
      <w:pPr>
        <w:tabs>
          <w:tab w:val="num" w:pos="3600"/>
        </w:tabs>
        <w:ind w:left="3600" w:hanging="360"/>
      </w:pPr>
    </w:lvl>
    <w:lvl w:ilvl="3" w:tplc="0809000F">
      <w:start w:val="1"/>
      <w:numFmt w:val="decimal"/>
      <w:lvlText w:val="%4."/>
      <w:lvlJc w:val="left"/>
      <w:pPr>
        <w:tabs>
          <w:tab w:val="num" w:pos="4320"/>
        </w:tabs>
        <w:ind w:left="4320" w:hanging="360"/>
      </w:pPr>
    </w:lvl>
    <w:lvl w:ilvl="4" w:tplc="08090019">
      <w:start w:val="1"/>
      <w:numFmt w:val="decimal"/>
      <w:lvlText w:val="%5."/>
      <w:lvlJc w:val="left"/>
      <w:pPr>
        <w:tabs>
          <w:tab w:val="num" w:pos="5040"/>
        </w:tabs>
        <w:ind w:left="5040" w:hanging="360"/>
      </w:pPr>
    </w:lvl>
    <w:lvl w:ilvl="5" w:tplc="0809001B">
      <w:start w:val="1"/>
      <w:numFmt w:val="decimal"/>
      <w:lvlText w:val="%6."/>
      <w:lvlJc w:val="left"/>
      <w:pPr>
        <w:tabs>
          <w:tab w:val="num" w:pos="5760"/>
        </w:tabs>
        <w:ind w:left="5760" w:hanging="360"/>
      </w:pPr>
    </w:lvl>
    <w:lvl w:ilvl="6" w:tplc="0809000F">
      <w:start w:val="1"/>
      <w:numFmt w:val="decimal"/>
      <w:lvlText w:val="%7."/>
      <w:lvlJc w:val="left"/>
      <w:pPr>
        <w:tabs>
          <w:tab w:val="num" w:pos="6480"/>
        </w:tabs>
        <w:ind w:left="6480" w:hanging="360"/>
      </w:pPr>
    </w:lvl>
    <w:lvl w:ilvl="7" w:tplc="08090019">
      <w:start w:val="1"/>
      <w:numFmt w:val="decimal"/>
      <w:lvlText w:val="%8."/>
      <w:lvlJc w:val="left"/>
      <w:pPr>
        <w:tabs>
          <w:tab w:val="num" w:pos="7200"/>
        </w:tabs>
        <w:ind w:left="7200" w:hanging="360"/>
      </w:pPr>
    </w:lvl>
    <w:lvl w:ilvl="8" w:tplc="0809001B">
      <w:start w:val="1"/>
      <w:numFmt w:val="decimal"/>
      <w:lvlText w:val="%9."/>
      <w:lvlJc w:val="left"/>
      <w:pPr>
        <w:tabs>
          <w:tab w:val="num" w:pos="7920"/>
        </w:tabs>
        <w:ind w:left="7920" w:hanging="360"/>
      </w:pPr>
    </w:lvl>
  </w:abstractNum>
  <w:abstractNum w:abstractNumId="2">
    <w:nsid w:val="19F8765C"/>
    <w:multiLevelType w:val="hybridMultilevel"/>
    <w:tmpl w:val="6D22295E"/>
    <w:lvl w:ilvl="0" w:tplc="1E5049B0">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218E02E8"/>
    <w:multiLevelType w:val="hybridMultilevel"/>
    <w:tmpl w:val="A7505136"/>
    <w:lvl w:ilvl="0" w:tplc="F0ACB4C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7663678"/>
    <w:multiLevelType w:val="hybridMultilevel"/>
    <w:tmpl w:val="8D509DFC"/>
    <w:lvl w:ilvl="0" w:tplc="0809000F">
      <w:start w:val="1"/>
      <w:numFmt w:val="decimal"/>
      <w:lvlText w:val="%1."/>
      <w:lvlJc w:val="left"/>
      <w:pPr>
        <w:tabs>
          <w:tab w:val="num" w:pos="720"/>
        </w:tabs>
        <w:ind w:left="720" w:hanging="360"/>
      </w:pPr>
      <w:rPr>
        <w:rFonts w:cs="Times New Roman" w:hint="default"/>
      </w:rPr>
    </w:lvl>
    <w:lvl w:ilvl="1" w:tplc="5BDEDAF6">
      <w:start w:val="1"/>
      <w:numFmt w:val="bullet"/>
      <w:lvlText w:val="-"/>
      <w:lvlJc w:val="left"/>
      <w:pPr>
        <w:tabs>
          <w:tab w:val="num" w:pos="1440"/>
        </w:tabs>
        <w:ind w:left="1440" w:hanging="360"/>
      </w:pPr>
      <w:rPr>
        <w:rFonts w:ascii="Arial" w:eastAsia="Times New Roman" w:hAnsi="Arial" w:hint="default"/>
      </w:rPr>
    </w:lvl>
    <w:lvl w:ilvl="2" w:tplc="0809001B" w:tentative="1">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3714436A"/>
    <w:multiLevelType w:val="hybridMultilevel"/>
    <w:tmpl w:val="0DBE8EC0"/>
    <w:lvl w:ilvl="0" w:tplc="C5921B7C">
      <w:start w:val="1"/>
      <w:numFmt w:val="bullet"/>
      <w:lvlText w:val="•"/>
      <w:lvlJc w:val="left"/>
      <w:pPr>
        <w:tabs>
          <w:tab w:val="num" w:pos="720"/>
        </w:tabs>
        <w:ind w:left="720" w:hanging="360"/>
      </w:pPr>
      <w:rPr>
        <w:rFonts w:ascii="Times New Roman" w:hAnsi="Times New Roman" w:hint="default"/>
      </w:rPr>
    </w:lvl>
    <w:lvl w:ilvl="1" w:tplc="BB10F680" w:tentative="1">
      <w:start w:val="1"/>
      <w:numFmt w:val="bullet"/>
      <w:lvlText w:val="•"/>
      <w:lvlJc w:val="left"/>
      <w:pPr>
        <w:tabs>
          <w:tab w:val="num" w:pos="1440"/>
        </w:tabs>
        <w:ind w:left="1440" w:hanging="360"/>
      </w:pPr>
      <w:rPr>
        <w:rFonts w:ascii="Times New Roman" w:hAnsi="Times New Roman" w:hint="default"/>
      </w:rPr>
    </w:lvl>
    <w:lvl w:ilvl="2" w:tplc="4E8E062A" w:tentative="1">
      <w:start w:val="1"/>
      <w:numFmt w:val="bullet"/>
      <w:lvlText w:val="•"/>
      <w:lvlJc w:val="left"/>
      <w:pPr>
        <w:tabs>
          <w:tab w:val="num" w:pos="2160"/>
        </w:tabs>
        <w:ind w:left="2160" w:hanging="360"/>
      </w:pPr>
      <w:rPr>
        <w:rFonts w:ascii="Times New Roman" w:hAnsi="Times New Roman" w:hint="default"/>
      </w:rPr>
    </w:lvl>
    <w:lvl w:ilvl="3" w:tplc="FBE07BA2" w:tentative="1">
      <w:start w:val="1"/>
      <w:numFmt w:val="bullet"/>
      <w:lvlText w:val="•"/>
      <w:lvlJc w:val="left"/>
      <w:pPr>
        <w:tabs>
          <w:tab w:val="num" w:pos="2880"/>
        </w:tabs>
        <w:ind w:left="2880" w:hanging="360"/>
      </w:pPr>
      <w:rPr>
        <w:rFonts w:ascii="Times New Roman" w:hAnsi="Times New Roman" w:hint="default"/>
      </w:rPr>
    </w:lvl>
    <w:lvl w:ilvl="4" w:tplc="9314D754" w:tentative="1">
      <w:start w:val="1"/>
      <w:numFmt w:val="bullet"/>
      <w:lvlText w:val="•"/>
      <w:lvlJc w:val="left"/>
      <w:pPr>
        <w:tabs>
          <w:tab w:val="num" w:pos="3600"/>
        </w:tabs>
        <w:ind w:left="3600" w:hanging="360"/>
      </w:pPr>
      <w:rPr>
        <w:rFonts w:ascii="Times New Roman" w:hAnsi="Times New Roman" w:hint="default"/>
      </w:rPr>
    </w:lvl>
    <w:lvl w:ilvl="5" w:tplc="6610E7CC" w:tentative="1">
      <w:start w:val="1"/>
      <w:numFmt w:val="bullet"/>
      <w:lvlText w:val="•"/>
      <w:lvlJc w:val="left"/>
      <w:pPr>
        <w:tabs>
          <w:tab w:val="num" w:pos="4320"/>
        </w:tabs>
        <w:ind w:left="4320" w:hanging="360"/>
      </w:pPr>
      <w:rPr>
        <w:rFonts w:ascii="Times New Roman" w:hAnsi="Times New Roman" w:hint="default"/>
      </w:rPr>
    </w:lvl>
    <w:lvl w:ilvl="6" w:tplc="12188858" w:tentative="1">
      <w:start w:val="1"/>
      <w:numFmt w:val="bullet"/>
      <w:lvlText w:val="•"/>
      <w:lvlJc w:val="left"/>
      <w:pPr>
        <w:tabs>
          <w:tab w:val="num" w:pos="5040"/>
        </w:tabs>
        <w:ind w:left="5040" w:hanging="360"/>
      </w:pPr>
      <w:rPr>
        <w:rFonts w:ascii="Times New Roman" w:hAnsi="Times New Roman" w:hint="default"/>
      </w:rPr>
    </w:lvl>
    <w:lvl w:ilvl="7" w:tplc="0434A80C" w:tentative="1">
      <w:start w:val="1"/>
      <w:numFmt w:val="bullet"/>
      <w:lvlText w:val="•"/>
      <w:lvlJc w:val="left"/>
      <w:pPr>
        <w:tabs>
          <w:tab w:val="num" w:pos="5760"/>
        </w:tabs>
        <w:ind w:left="5760" w:hanging="360"/>
      </w:pPr>
      <w:rPr>
        <w:rFonts w:ascii="Times New Roman" w:hAnsi="Times New Roman" w:hint="default"/>
      </w:rPr>
    </w:lvl>
    <w:lvl w:ilvl="8" w:tplc="640C7A60" w:tentative="1">
      <w:start w:val="1"/>
      <w:numFmt w:val="bullet"/>
      <w:lvlText w:val="•"/>
      <w:lvlJc w:val="left"/>
      <w:pPr>
        <w:tabs>
          <w:tab w:val="num" w:pos="6480"/>
        </w:tabs>
        <w:ind w:left="6480" w:hanging="360"/>
      </w:pPr>
      <w:rPr>
        <w:rFonts w:ascii="Times New Roman" w:hAnsi="Times New Roman" w:hint="default"/>
      </w:rPr>
    </w:lvl>
  </w:abstractNum>
  <w:abstractNum w:abstractNumId="6">
    <w:nsid w:val="45A20DF2"/>
    <w:multiLevelType w:val="hybridMultilevel"/>
    <w:tmpl w:val="6390FBC4"/>
    <w:lvl w:ilvl="0" w:tplc="4680ED72">
      <w:start w:val="1"/>
      <w:numFmt w:val="bullet"/>
      <w:lvlText w:val="•"/>
      <w:lvlJc w:val="left"/>
      <w:pPr>
        <w:tabs>
          <w:tab w:val="num" w:pos="720"/>
        </w:tabs>
        <w:ind w:left="720" w:hanging="360"/>
      </w:pPr>
      <w:rPr>
        <w:rFonts w:ascii="Times New Roman" w:hAnsi="Times New Roman" w:hint="default"/>
      </w:rPr>
    </w:lvl>
    <w:lvl w:ilvl="1" w:tplc="DB3636B0" w:tentative="1">
      <w:start w:val="1"/>
      <w:numFmt w:val="bullet"/>
      <w:lvlText w:val="•"/>
      <w:lvlJc w:val="left"/>
      <w:pPr>
        <w:tabs>
          <w:tab w:val="num" w:pos="1440"/>
        </w:tabs>
        <w:ind w:left="1440" w:hanging="360"/>
      </w:pPr>
      <w:rPr>
        <w:rFonts w:ascii="Times New Roman" w:hAnsi="Times New Roman" w:hint="default"/>
      </w:rPr>
    </w:lvl>
    <w:lvl w:ilvl="2" w:tplc="7A64CEB8" w:tentative="1">
      <w:start w:val="1"/>
      <w:numFmt w:val="bullet"/>
      <w:lvlText w:val="•"/>
      <w:lvlJc w:val="left"/>
      <w:pPr>
        <w:tabs>
          <w:tab w:val="num" w:pos="2160"/>
        </w:tabs>
        <w:ind w:left="2160" w:hanging="360"/>
      </w:pPr>
      <w:rPr>
        <w:rFonts w:ascii="Times New Roman" w:hAnsi="Times New Roman" w:hint="default"/>
      </w:rPr>
    </w:lvl>
    <w:lvl w:ilvl="3" w:tplc="06CE628A" w:tentative="1">
      <w:start w:val="1"/>
      <w:numFmt w:val="bullet"/>
      <w:lvlText w:val="•"/>
      <w:lvlJc w:val="left"/>
      <w:pPr>
        <w:tabs>
          <w:tab w:val="num" w:pos="2880"/>
        </w:tabs>
        <w:ind w:left="2880" w:hanging="360"/>
      </w:pPr>
      <w:rPr>
        <w:rFonts w:ascii="Times New Roman" w:hAnsi="Times New Roman" w:hint="default"/>
      </w:rPr>
    </w:lvl>
    <w:lvl w:ilvl="4" w:tplc="DFAC576A" w:tentative="1">
      <w:start w:val="1"/>
      <w:numFmt w:val="bullet"/>
      <w:lvlText w:val="•"/>
      <w:lvlJc w:val="left"/>
      <w:pPr>
        <w:tabs>
          <w:tab w:val="num" w:pos="3600"/>
        </w:tabs>
        <w:ind w:left="3600" w:hanging="360"/>
      </w:pPr>
      <w:rPr>
        <w:rFonts w:ascii="Times New Roman" w:hAnsi="Times New Roman" w:hint="default"/>
      </w:rPr>
    </w:lvl>
    <w:lvl w:ilvl="5" w:tplc="DBC48008" w:tentative="1">
      <w:start w:val="1"/>
      <w:numFmt w:val="bullet"/>
      <w:lvlText w:val="•"/>
      <w:lvlJc w:val="left"/>
      <w:pPr>
        <w:tabs>
          <w:tab w:val="num" w:pos="4320"/>
        </w:tabs>
        <w:ind w:left="4320" w:hanging="360"/>
      </w:pPr>
      <w:rPr>
        <w:rFonts w:ascii="Times New Roman" w:hAnsi="Times New Roman" w:hint="default"/>
      </w:rPr>
    </w:lvl>
    <w:lvl w:ilvl="6" w:tplc="309E8A76" w:tentative="1">
      <w:start w:val="1"/>
      <w:numFmt w:val="bullet"/>
      <w:lvlText w:val="•"/>
      <w:lvlJc w:val="left"/>
      <w:pPr>
        <w:tabs>
          <w:tab w:val="num" w:pos="5040"/>
        </w:tabs>
        <w:ind w:left="5040" w:hanging="360"/>
      </w:pPr>
      <w:rPr>
        <w:rFonts w:ascii="Times New Roman" w:hAnsi="Times New Roman" w:hint="default"/>
      </w:rPr>
    </w:lvl>
    <w:lvl w:ilvl="7" w:tplc="72A0E242" w:tentative="1">
      <w:start w:val="1"/>
      <w:numFmt w:val="bullet"/>
      <w:lvlText w:val="•"/>
      <w:lvlJc w:val="left"/>
      <w:pPr>
        <w:tabs>
          <w:tab w:val="num" w:pos="5760"/>
        </w:tabs>
        <w:ind w:left="5760" w:hanging="360"/>
      </w:pPr>
      <w:rPr>
        <w:rFonts w:ascii="Times New Roman" w:hAnsi="Times New Roman" w:hint="default"/>
      </w:rPr>
    </w:lvl>
    <w:lvl w:ilvl="8" w:tplc="82DCB7B6" w:tentative="1">
      <w:start w:val="1"/>
      <w:numFmt w:val="bullet"/>
      <w:lvlText w:val="•"/>
      <w:lvlJc w:val="left"/>
      <w:pPr>
        <w:tabs>
          <w:tab w:val="num" w:pos="6480"/>
        </w:tabs>
        <w:ind w:left="6480" w:hanging="360"/>
      </w:pPr>
      <w:rPr>
        <w:rFonts w:ascii="Times New Roman" w:hAnsi="Times New Roman" w:hint="default"/>
      </w:rPr>
    </w:lvl>
  </w:abstractNum>
  <w:abstractNum w:abstractNumId="7">
    <w:nsid w:val="47C63B92"/>
    <w:multiLevelType w:val="hybridMultilevel"/>
    <w:tmpl w:val="45AA1B98"/>
    <w:lvl w:ilvl="0" w:tplc="188AD10E">
      <w:start w:val="1"/>
      <w:numFmt w:val="bullet"/>
      <w:lvlText w:val="•"/>
      <w:lvlJc w:val="left"/>
      <w:pPr>
        <w:tabs>
          <w:tab w:val="num" w:pos="720"/>
        </w:tabs>
        <w:ind w:left="720" w:hanging="360"/>
      </w:pPr>
      <w:rPr>
        <w:rFonts w:ascii="Times New Roman" w:hAnsi="Times New Roman" w:hint="default"/>
      </w:rPr>
    </w:lvl>
    <w:lvl w:ilvl="1" w:tplc="C19C1FB8" w:tentative="1">
      <w:start w:val="1"/>
      <w:numFmt w:val="bullet"/>
      <w:lvlText w:val="•"/>
      <w:lvlJc w:val="left"/>
      <w:pPr>
        <w:tabs>
          <w:tab w:val="num" w:pos="1440"/>
        </w:tabs>
        <w:ind w:left="1440" w:hanging="360"/>
      </w:pPr>
      <w:rPr>
        <w:rFonts w:ascii="Times New Roman" w:hAnsi="Times New Roman" w:hint="default"/>
      </w:rPr>
    </w:lvl>
    <w:lvl w:ilvl="2" w:tplc="3330209E" w:tentative="1">
      <w:start w:val="1"/>
      <w:numFmt w:val="bullet"/>
      <w:lvlText w:val="•"/>
      <w:lvlJc w:val="left"/>
      <w:pPr>
        <w:tabs>
          <w:tab w:val="num" w:pos="2160"/>
        </w:tabs>
        <w:ind w:left="2160" w:hanging="360"/>
      </w:pPr>
      <w:rPr>
        <w:rFonts w:ascii="Times New Roman" w:hAnsi="Times New Roman" w:hint="default"/>
      </w:rPr>
    </w:lvl>
    <w:lvl w:ilvl="3" w:tplc="A502BEEE" w:tentative="1">
      <w:start w:val="1"/>
      <w:numFmt w:val="bullet"/>
      <w:lvlText w:val="•"/>
      <w:lvlJc w:val="left"/>
      <w:pPr>
        <w:tabs>
          <w:tab w:val="num" w:pos="2880"/>
        </w:tabs>
        <w:ind w:left="2880" w:hanging="360"/>
      </w:pPr>
      <w:rPr>
        <w:rFonts w:ascii="Times New Roman" w:hAnsi="Times New Roman" w:hint="default"/>
      </w:rPr>
    </w:lvl>
    <w:lvl w:ilvl="4" w:tplc="59FA2A16" w:tentative="1">
      <w:start w:val="1"/>
      <w:numFmt w:val="bullet"/>
      <w:lvlText w:val="•"/>
      <w:lvlJc w:val="left"/>
      <w:pPr>
        <w:tabs>
          <w:tab w:val="num" w:pos="3600"/>
        </w:tabs>
        <w:ind w:left="3600" w:hanging="360"/>
      </w:pPr>
      <w:rPr>
        <w:rFonts w:ascii="Times New Roman" w:hAnsi="Times New Roman" w:hint="default"/>
      </w:rPr>
    </w:lvl>
    <w:lvl w:ilvl="5" w:tplc="FA3683B6" w:tentative="1">
      <w:start w:val="1"/>
      <w:numFmt w:val="bullet"/>
      <w:lvlText w:val="•"/>
      <w:lvlJc w:val="left"/>
      <w:pPr>
        <w:tabs>
          <w:tab w:val="num" w:pos="4320"/>
        </w:tabs>
        <w:ind w:left="4320" w:hanging="360"/>
      </w:pPr>
      <w:rPr>
        <w:rFonts w:ascii="Times New Roman" w:hAnsi="Times New Roman" w:hint="default"/>
      </w:rPr>
    </w:lvl>
    <w:lvl w:ilvl="6" w:tplc="748E0DD0" w:tentative="1">
      <w:start w:val="1"/>
      <w:numFmt w:val="bullet"/>
      <w:lvlText w:val="•"/>
      <w:lvlJc w:val="left"/>
      <w:pPr>
        <w:tabs>
          <w:tab w:val="num" w:pos="5040"/>
        </w:tabs>
        <w:ind w:left="5040" w:hanging="360"/>
      </w:pPr>
      <w:rPr>
        <w:rFonts w:ascii="Times New Roman" w:hAnsi="Times New Roman" w:hint="default"/>
      </w:rPr>
    </w:lvl>
    <w:lvl w:ilvl="7" w:tplc="4164232A" w:tentative="1">
      <w:start w:val="1"/>
      <w:numFmt w:val="bullet"/>
      <w:lvlText w:val="•"/>
      <w:lvlJc w:val="left"/>
      <w:pPr>
        <w:tabs>
          <w:tab w:val="num" w:pos="5760"/>
        </w:tabs>
        <w:ind w:left="5760" w:hanging="360"/>
      </w:pPr>
      <w:rPr>
        <w:rFonts w:ascii="Times New Roman" w:hAnsi="Times New Roman" w:hint="default"/>
      </w:rPr>
    </w:lvl>
    <w:lvl w:ilvl="8" w:tplc="4944300E" w:tentative="1">
      <w:start w:val="1"/>
      <w:numFmt w:val="bullet"/>
      <w:lvlText w:val="•"/>
      <w:lvlJc w:val="left"/>
      <w:pPr>
        <w:tabs>
          <w:tab w:val="num" w:pos="6480"/>
        </w:tabs>
        <w:ind w:left="6480" w:hanging="360"/>
      </w:pPr>
      <w:rPr>
        <w:rFonts w:ascii="Times New Roman" w:hAnsi="Times New Roman" w:hint="default"/>
      </w:rPr>
    </w:lvl>
  </w:abstractNum>
  <w:abstractNum w:abstractNumId="8">
    <w:nsid w:val="501D39EB"/>
    <w:multiLevelType w:val="hybridMultilevel"/>
    <w:tmpl w:val="59626FCE"/>
    <w:lvl w:ilvl="0" w:tplc="8A3A3938">
      <w:start w:val="1"/>
      <w:numFmt w:val="bullet"/>
      <w:lvlText w:val="•"/>
      <w:lvlJc w:val="left"/>
      <w:pPr>
        <w:tabs>
          <w:tab w:val="num" w:pos="720"/>
        </w:tabs>
        <w:ind w:left="720" w:hanging="360"/>
      </w:pPr>
      <w:rPr>
        <w:rFonts w:ascii="Times New Roman" w:hAnsi="Times New Roman" w:hint="default"/>
      </w:rPr>
    </w:lvl>
    <w:lvl w:ilvl="1" w:tplc="806E6CBA" w:tentative="1">
      <w:start w:val="1"/>
      <w:numFmt w:val="bullet"/>
      <w:lvlText w:val="•"/>
      <w:lvlJc w:val="left"/>
      <w:pPr>
        <w:tabs>
          <w:tab w:val="num" w:pos="1440"/>
        </w:tabs>
        <w:ind w:left="1440" w:hanging="360"/>
      </w:pPr>
      <w:rPr>
        <w:rFonts w:ascii="Times New Roman" w:hAnsi="Times New Roman" w:hint="default"/>
      </w:rPr>
    </w:lvl>
    <w:lvl w:ilvl="2" w:tplc="7C0EAAA0" w:tentative="1">
      <w:start w:val="1"/>
      <w:numFmt w:val="bullet"/>
      <w:lvlText w:val="•"/>
      <w:lvlJc w:val="left"/>
      <w:pPr>
        <w:tabs>
          <w:tab w:val="num" w:pos="2160"/>
        </w:tabs>
        <w:ind w:left="2160" w:hanging="360"/>
      </w:pPr>
      <w:rPr>
        <w:rFonts w:ascii="Times New Roman" w:hAnsi="Times New Roman" w:hint="default"/>
      </w:rPr>
    </w:lvl>
    <w:lvl w:ilvl="3" w:tplc="560C92B0" w:tentative="1">
      <w:start w:val="1"/>
      <w:numFmt w:val="bullet"/>
      <w:lvlText w:val="•"/>
      <w:lvlJc w:val="left"/>
      <w:pPr>
        <w:tabs>
          <w:tab w:val="num" w:pos="2880"/>
        </w:tabs>
        <w:ind w:left="2880" w:hanging="360"/>
      </w:pPr>
      <w:rPr>
        <w:rFonts w:ascii="Times New Roman" w:hAnsi="Times New Roman" w:hint="default"/>
      </w:rPr>
    </w:lvl>
    <w:lvl w:ilvl="4" w:tplc="10E2FEF2" w:tentative="1">
      <w:start w:val="1"/>
      <w:numFmt w:val="bullet"/>
      <w:lvlText w:val="•"/>
      <w:lvlJc w:val="left"/>
      <w:pPr>
        <w:tabs>
          <w:tab w:val="num" w:pos="3600"/>
        </w:tabs>
        <w:ind w:left="3600" w:hanging="360"/>
      </w:pPr>
      <w:rPr>
        <w:rFonts w:ascii="Times New Roman" w:hAnsi="Times New Roman" w:hint="default"/>
      </w:rPr>
    </w:lvl>
    <w:lvl w:ilvl="5" w:tplc="1EC00A1C" w:tentative="1">
      <w:start w:val="1"/>
      <w:numFmt w:val="bullet"/>
      <w:lvlText w:val="•"/>
      <w:lvlJc w:val="left"/>
      <w:pPr>
        <w:tabs>
          <w:tab w:val="num" w:pos="4320"/>
        </w:tabs>
        <w:ind w:left="4320" w:hanging="360"/>
      </w:pPr>
      <w:rPr>
        <w:rFonts w:ascii="Times New Roman" w:hAnsi="Times New Roman" w:hint="default"/>
      </w:rPr>
    </w:lvl>
    <w:lvl w:ilvl="6" w:tplc="3392BB48" w:tentative="1">
      <w:start w:val="1"/>
      <w:numFmt w:val="bullet"/>
      <w:lvlText w:val="•"/>
      <w:lvlJc w:val="left"/>
      <w:pPr>
        <w:tabs>
          <w:tab w:val="num" w:pos="5040"/>
        </w:tabs>
        <w:ind w:left="5040" w:hanging="360"/>
      </w:pPr>
      <w:rPr>
        <w:rFonts w:ascii="Times New Roman" w:hAnsi="Times New Roman" w:hint="default"/>
      </w:rPr>
    </w:lvl>
    <w:lvl w:ilvl="7" w:tplc="734821CE" w:tentative="1">
      <w:start w:val="1"/>
      <w:numFmt w:val="bullet"/>
      <w:lvlText w:val="•"/>
      <w:lvlJc w:val="left"/>
      <w:pPr>
        <w:tabs>
          <w:tab w:val="num" w:pos="5760"/>
        </w:tabs>
        <w:ind w:left="5760" w:hanging="360"/>
      </w:pPr>
      <w:rPr>
        <w:rFonts w:ascii="Times New Roman" w:hAnsi="Times New Roman" w:hint="default"/>
      </w:rPr>
    </w:lvl>
    <w:lvl w:ilvl="8" w:tplc="66CABCC0" w:tentative="1">
      <w:start w:val="1"/>
      <w:numFmt w:val="bullet"/>
      <w:lvlText w:val="•"/>
      <w:lvlJc w:val="left"/>
      <w:pPr>
        <w:tabs>
          <w:tab w:val="num" w:pos="6480"/>
        </w:tabs>
        <w:ind w:left="6480" w:hanging="360"/>
      </w:pPr>
      <w:rPr>
        <w:rFonts w:ascii="Times New Roman" w:hAnsi="Times New Roman" w:hint="default"/>
      </w:rPr>
    </w:lvl>
  </w:abstractNum>
  <w:abstractNum w:abstractNumId="9">
    <w:nsid w:val="51C81BEB"/>
    <w:multiLevelType w:val="hybridMultilevel"/>
    <w:tmpl w:val="9CDC17BE"/>
    <w:lvl w:ilvl="0" w:tplc="2B387364">
      <w:start w:val="1"/>
      <w:numFmt w:val="bullet"/>
      <w:lvlText w:val="•"/>
      <w:lvlJc w:val="left"/>
      <w:pPr>
        <w:tabs>
          <w:tab w:val="num" w:pos="720"/>
        </w:tabs>
        <w:ind w:left="720" w:hanging="360"/>
      </w:pPr>
      <w:rPr>
        <w:rFonts w:ascii="Times New Roman" w:hAnsi="Times New Roman" w:hint="default"/>
      </w:rPr>
    </w:lvl>
    <w:lvl w:ilvl="1" w:tplc="3C085442" w:tentative="1">
      <w:start w:val="1"/>
      <w:numFmt w:val="bullet"/>
      <w:lvlText w:val="•"/>
      <w:lvlJc w:val="left"/>
      <w:pPr>
        <w:tabs>
          <w:tab w:val="num" w:pos="1440"/>
        </w:tabs>
        <w:ind w:left="1440" w:hanging="360"/>
      </w:pPr>
      <w:rPr>
        <w:rFonts w:ascii="Times New Roman" w:hAnsi="Times New Roman" w:hint="default"/>
      </w:rPr>
    </w:lvl>
    <w:lvl w:ilvl="2" w:tplc="BEA8E79A" w:tentative="1">
      <w:start w:val="1"/>
      <w:numFmt w:val="bullet"/>
      <w:lvlText w:val="•"/>
      <w:lvlJc w:val="left"/>
      <w:pPr>
        <w:tabs>
          <w:tab w:val="num" w:pos="2160"/>
        </w:tabs>
        <w:ind w:left="2160" w:hanging="360"/>
      </w:pPr>
      <w:rPr>
        <w:rFonts w:ascii="Times New Roman" w:hAnsi="Times New Roman" w:hint="default"/>
      </w:rPr>
    </w:lvl>
    <w:lvl w:ilvl="3" w:tplc="BAB44372" w:tentative="1">
      <w:start w:val="1"/>
      <w:numFmt w:val="bullet"/>
      <w:lvlText w:val="•"/>
      <w:lvlJc w:val="left"/>
      <w:pPr>
        <w:tabs>
          <w:tab w:val="num" w:pos="2880"/>
        </w:tabs>
        <w:ind w:left="2880" w:hanging="360"/>
      </w:pPr>
      <w:rPr>
        <w:rFonts w:ascii="Times New Roman" w:hAnsi="Times New Roman" w:hint="default"/>
      </w:rPr>
    </w:lvl>
    <w:lvl w:ilvl="4" w:tplc="C7E2D758" w:tentative="1">
      <w:start w:val="1"/>
      <w:numFmt w:val="bullet"/>
      <w:lvlText w:val="•"/>
      <w:lvlJc w:val="left"/>
      <w:pPr>
        <w:tabs>
          <w:tab w:val="num" w:pos="3600"/>
        </w:tabs>
        <w:ind w:left="3600" w:hanging="360"/>
      </w:pPr>
      <w:rPr>
        <w:rFonts w:ascii="Times New Roman" w:hAnsi="Times New Roman" w:hint="default"/>
      </w:rPr>
    </w:lvl>
    <w:lvl w:ilvl="5" w:tplc="D56C1B70" w:tentative="1">
      <w:start w:val="1"/>
      <w:numFmt w:val="bullet"/>
      <w:lvlText w:val="•"/>
      <w:lvlJc w:val="left"/>
      <w:pPr>
        <w:tabs>
          <w:tab w:val="num" w:pos="4320"/>
        </w:tabs>
        <w:ind w:left="4320" w:hanging="360"/>
      </w:pPr>
      <w:rPr>
        <w:rFonts w:ascii="Times New Roman" w:hAnsi="Times New Roman" w:hint="default"/>
      </w:rPr>
    </w:lvl>
    <w:lvl w:ilvl="6" w:tplc="F44C88DC" w:tentative="1">
      <w:start w:val="1"/>
      <w:numFmt w:val="bullet"/>
      <w:lvlText w:val="•"/>
      <w:lvlJc w:val="left"/>
      <w:pPr>
        <w:tabs>
          <w:tab w:val="num" w:pos="5040"/>
        </w:tabs>
        <w:ind w:left="5040" w:hanging="360"/>
      </w:pPr>
      <w:rPr>
        <w:rFonts w:ascii="Times New Roman" w:hAnsi="Times New Roman" w:hint="default"/>
      </w:rPr>
    </w:lvl>
    <w:lvl w:ilvl="7" w:tplc="C54EE6B6" w:tentative="1">
      <w:start w:val="1"/>
      <w:numFmt w:val="bullet"/>
      <w:lvlText w:val="•"/>
      <w:lvlJc w:val="left"/>
      <w:pPr>
        <w:tabs>
          <w:tab w:val="num" w:pos="5760"/>
        </w:tabs>
        <w:ind w:left="5760" w:hanging="360"/>
      </w:pPr>
      <w:rPr>
        <w:rFonts w:ascii="Times New Roman" w:hAnsi="Times New Roman" w:hint="default"/>
      </w:rPr>
    </w:lvl>
    <w:lvl w:ilvl="8" w:tplc="615EBD1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2E25CD2"/>
    <w:multiLevelType w:val="hybridMultilevel"/>
    <w:tmpl w:val="4BAC8794"/>
    <w:lvl w:ilvl="0" w:tplc="B93CE072">
      <w:start w:val="1"/>
      <w:numFmt w:val="bullet"/>
      <w:lvlText w:val="•"/>
      <w:lvlJc w:val="left"/>
      <w:pPr>
        <w:tabs>
          <w:tab w:val="num" w:pos="720"/>
        </w:tabs>
        <w:ind w:left="720" w:hanging="360"/>
      </w:pPr>
      <w:rPr>
        <w:rFonts w:ascii="Times New Roman" w:hAnsi="Times New Roman" w:hint="default"/>
      </w:rPr>
    </w:lvl>
    <w:lvl w:ilvl="1" w:tplc="2BF24C4A" w:tentative="1">
      <w:start w:val="1"/>
      <w:numFmt w:val="bullet"/>
      <w:lvlText w:val="•"/>
      <w:lvlJc w:val="left"/>
      <w:pPr>
        <w:tabs>
          <w:tab w:val="num" w:pos="1440"/>
        </w:tabs>
        <w:ind w:left="1440" w:hanging="360"/>
      </w:pPr>
      <w:rPr>
        <w:rFonts w:ascii="Times New Roman" w:hAnsi="Times New Roman" w:hint="default"/>
      </w:rPr>
    </w:lvl>
    <w:lvl w:ilvl="2" w:tplc="3B46603E" w:tentative="1">
      <w:start w:val="1"/>
      <w:numFmt w:val="bullet"/>
      <w:lvlText w:val="•"/>
      <w:lvlJc w:val="left"/>
      <w:pPr>
        <w:tabs>
          <w:tab w:val="num" w:pos="2160"/>
        </w:tabs>
        <w:ind w:left="2160" w:hanging="360"/>
      </w:pPr>
      <w:rPr>
        <w:rFonts w:ascii="Times New Roman" w:hAnsi="Times New Roman" w:hint="default"/>
      </w:rPr>
    </w:lvl>
    <w:lvl w:ilvl="3" w:tplc="95A0B3B0" w:tentative="1">
      <w:start w:val="1"/>
      <w:numFmt w:val="bullet"/>
      <w:lvlText w:val="•"/>
      <w:lvlJc w:val="left"/>
      <w:pPr>
        <w:tabs>
          <w:tab w:val="num" w:pos="2880"/>
        </w:tabs>
        <w:ind w:left="2880" w:hanging="360"/>
      </w:pPr>
      <w:rPr>
        <w:rFonts w:ascii="Times New Roman" w:hAnsi="Times New Roman" w:hint="default"/>
      </w:rPr>
    </w:lvl>
    <w:lvl w:ilvl="4" w:tplc="0630D142" w:tentative="1">
      <w:start w:val="1"/>
      <w:numFmt w:val="bullet"/>
      <w:lvlText w:val="•"/>
      <w:lvlJc w:val="left"/>
      <w:pPr>
        <w:tabs>
          <w:tab w:val="num" w:pos="3600"/>
        </w:tabs>
        <w:ind w:left="3600" w:hanging="360"/>
      </w:pPr>
      <w:rPr>
        <w:rFonts w:ascii="Times New Roman" w:hAnsi="Times New Roman" w:hint="default"/>
      </w:rPr>
    </w:lvl>
    <w:lvl w:ilvl="5" w:tplc="51C2D626" w:tentative="1">
      <w:start w:val="1"/>
      <w:numFmt w:val="bullet"/>
      <w:lvlText w:val="•"/>
      <w:lvlJc w:val="left"/>
      <w:pPr>
        <w:tabs>
          <w:tab w:val="num" w:pos="4320"/>
        </w:tabs>
        <w:ind w:left="4320" w:hanging="360"/>
      </w:pPr>
      <w:rPr>
        <w:rFonts w:ascii="Times New Roman" w:hAnsi="Times New Roman" w:hint="default"/>
      </w:rPr>
    </w:lvl>
    <w:lvl w:ilvl="6" w:tplc="30707DE6" w:tentative="1">
      <w:start w:val="1"/>
      <w:numFmt w:val="bullet"/>
      <w:lvlText w:val="•"/>
      <w:lvlJc w:val="left"/>
      <w:pPr>
        <w:tabs>
          <w:tab w:val="num" w:pos="5040"/>
        </w:tabs>
        <w:ind w:left="5040" w:hanging="360"/>
      </w:pPr>
      <w:rPr>
        <w:rFonts w:ascii="Times New Roman" w:hAnsi="Times New Roman" w:hint="default"/>
      </w:rPr>
    </w:lvl>
    <w:lvl w:ilvl="7" w:tplc="83EA30F8" w:tentative="1">
      <w:start w:val="1"/>
      <w:numFmt w:val="bullet"/>
      <w:lvlText w:val="•"/>
      <w:lvlJc w:val="left"/>
      <w:pPr>
        <w:tabs>
          <w:tab w:val="num" w:pos="5760"/>
        </w:tabs>
        <w:ind w:left="5760" w:hanging="360"/>
      </w:pPr>
      <w:rPr>
        <w:rFonts w:ascii="Times New Roman" w:hAnsi="Times New Roman" w:hint="default"/>
      </w:rPr>
    </w:lvl>
    <w:lvl w:ilvl="8" w:tplc="E974CE1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6A37CE6"/>
    <w:multiLevelType w:val="hybridMultilevel"/>
    <w:tmpl w:val="8F6CAE18"/>
    <w:lvl w:ilvl="0" w:tplc="676AC836">
      <w:start w:val="1"/>
      <w:numFmt w:val="bullet"/>
      <w:lvlText w:val="•"/>
      <w:lvlJc w:val="left"/>
      <w:pPr>
        <w:tabs>
          <w:tab w:val="num" w:pos="720"/>
        </w:tabs>
        <w:ind w:left="720" w:hanging="360"/>
      </w:pPr>
      <w:rPr>
        <w:rFonts w:ascii="Times New Roman" w:hAnsi="Times New Roman" w:hint="default"/>
      </w:rPr>
    </w:lvl>
    <w:lvl w:ilvl="1" w:tplc="5FDE3810" w:tentative="1">
      <w:start w:val="1"/>
      <w:numFmt w:val="bullet"/>
      <w:lvlText w:val="•"/>
      <w:lvlJc w:val="left"/>
      <w:pPr>
        <w:tabs>
          <w:tab w:val="num" w:pos="1440"/>
        </w:tabs>
        <w:ind w:left="1440" w:hanging="360"/>
      </w:pPr>
      <w:rPr>
        <w:rFonts w:ascii="Times New Roman" w:hAnsi="Times New Roman" w:hint="default"/>
      </w:rPr>
    </w:lvl>
    <w:lvl w:ilvl="2" w:tplc="0D0E2C1C" w:tentative="1">
      <w:start w:val="1"/>
      <w:numFmt w:val="bullet"/>
      <w:lvlText w:val="•"/>
      <w:lvlJc w:val="left"/>
      <w:pPr>
        <w:tabs>
          <w:tab w:val="num" w:pos="2160"/>
        </w:tabs>
        <w:ind w:left="2160" w:hanging="360"/>
      </w:pPr>
      <w:rPr>
        <w:rFonts w:ascii="Times New Roman" w:hAnsi="Times New Roman" w:hint="default"/>
      </w:rPr>
    </w:lvl>
    <w:lvl w:ilvl="3" w:tplc="85045A12" w:tentative="1">
      <w:start w:val="1"/>
      <w:numFmt w:val="bullet"/>
      <w:lvlText w:val="•"/>
      <w:lvlJc w:val="left"/>
      <w:pPr>
        <w:tabs>
          <w:tab w:val="num" w:pos="2880"/>
        </w:tabs>
        <w:ind w:left="2880" w:hanging="360"/>
      </w:pPr>
      <w:rPr>
        <w:rFonts w:ascii="Times New Roman" w:hAnsi="Times New Roman" w:hint="default"/>
      </w:rPr>
    </w:lvl>
    <w:lvl w:ilvl="4" w:tplc="FE2EC812" w:tentative="1">
      <w:start w:val="1"/>
      <w:numFmt w:val="bullet"/>
      <w:lvlText w:val="•"/>
      <w:lvlJc w:val="left"/>
      <w:pPr>
        <w:tabs>
          <w:tab w:val="num" w:pos="3600"/>
        </w:tabs>
        <w:ind w:left="3600" w:hanging="360"/>
      </w:pPr>
      <w:rPr>
        <w:rFonts w:ascii="Times New Roman" w:hAnsi="Times New Roman" w:hint="default"/>
      </w:rPr>
    </w:lvl>
    <w:lvl w:ilvl="5" w:tplc="178E0692" w:tentative="1">
      <w:start w:val="1"/>
      <w:numFmt w:val="bullet"/>
      <w:lvlText w:val="•"/>
      <w:lvlJc w:val="left"/>
      <w:pPr>
        <w:tabs>
          <w:tab w:val="num" w:pos="4320"/>
        </w:tabs>
        <w:ind w:left="4320" w:hanging="360"/>
      </w:pPr>
      <w:rPr>
        <w:rFonts w:ascii="Times New Roman" w:hAnsi="Times New Roman" w:hint="default"/>
      </w:rPr>
    </w:lvl>
    <w:lvl w:ilvl="6" w:tplc="61569640" w:tentative="1">
      <w:start w:val="1"/>
      <w:numFmt w:val="bullet"/>
      <w:lvlText w:val="•"/>
      <w:lvlJc w:val="left"/>
      <w:pPr>
        <w:tabs>
          <w:tab w:val="num" w:pos="5040"/>
        </w:tabs>
        <w:ind w:left="5040" w:hanging="360"/>
      </w:pPr>
      <w:rPr>
        <w:rFonts w:ascii="Times New Roman" w:hAnsi="Times New Roman" w:hint="default"/>
      </w:rPr>
    </w:lvl>
    <w:lvl w:ilvl="7" w:tplc="89587AF6" w:tentative="1">
      <w:start w:val="1"/>
      <w:numFmt w:val="bullet"/>
      <w:lvlText w:val="•"/>
      <w:lvlJc w:val="left"/>
      <w:pPr>
        <w:tabs>
          <w:tab w:val="num" w:pos="5760"/>
        </w:tabs>
        <w:ind w:left="5760" w:hanging="360"/>
      </w:pPr>
      <w:rPr>
        <w:rFonts w:ascii="Times New Roman" w:hAnsi="Times New Roman" w:hint="default"/>
      </w:rPr>
    </w:lvl>
    <w:lvl w:ilvl="8" w:tplc="BF0EF10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7B5D7A35"/>
    <w:multiLevelType w:val="hybridMultilevel"/>
    <w:tmpl w:val="19F8B8CA"/>
    <w:lvl w:ilvl="0" w:tplc="D5C8E5B2">
      <w:start w:val="1"/>
      <w:numFmt w:val="bullet"/>
      <w:lvlText w:val="•"/>
      <w:lvlJc w:val="left"/>
      <w:pPr>
        <w:tabs>
          <w:tab w:val="num" w:pos="720"/>
        </w:tabs>
        <w:ind w:left="720" w:hanging="360"/>
      </w:pPr>
      <w:rPr>
        <w:rFonts w:ascii="Times New Roman" w:hAnsi="Times New Roman" w:hint="default"/>
      </w:rPr>
    </w:lvl>
    <w:lvl w:ilvl="1" w:tplc="592C515E" w:tentative="1">
      <w:start w:val="1"/>
      <w:numFmt w:val="bullet"/>
      <w:lvlText w:val="•"/>
      <w:lvlJc w:val="left"/>
      <w:pPr>
        <w:tabs>
          <w:tab w:val="num" w:pos="1440"/>
        </w:tabs>
        <w:ind w:left="1440" w:hanging="360"/>
      </w:pPr>
      <w:rPr>
        <w:rFonts w:ascii="Times New Roman" w:hAnsi="Times New Roman" w:hint="default"/>
      </w:rPr>
    </w:lvl>
    <w:lvl w:ilvl="2" w:tplc="F8E2BCD0" w:tentative="1">
      <w:start w:val="1"/>
      <w:numFmt w:val="bullet"/>
      <w:lvlText w:val="•"/>
      <w:lvlJc w:val="left"/>
      <w:pPr>
        <w:tabs>
          <w:tab w:val="num" w:pos="2160"/>
        </w:tabs>
        <w:ind w:left="2160" w:hanging="360"/>
      </w:pPr>
      <w:rPr>
        <w:rFonts w:ascii="Times New Roman" w:hAnsi="Times New Roman" w:hint="default"/>
      </w:rPr>
    </w:lvl>
    <w:lvl w:ilvl="3" w:tplc="0DC8103C" w:tentative="1">
      <w:start w:val="1"/>
      <w:numFmt w:val="bullet"/>
      <w:lvlText w:val="•"/>
      <w:lvlJc w:val="left"/>
      <w:pPr>
        <w:tabs>
          <w:tab w:val="num" w:pos="2880"/>
        </w:tabs>
        <w:ind w:left="2880" w:hanging="360"/>
      </w:pPr>
      <w:rPr>
        <w:rFonts w:ascii="Times New Roman" w:hAnsi="Times New Roman" w:hint="default"/>
      </w:rPr>
    </w:lvl>
    <w:lvl w:ilvl="4" w:tplc="2CB46048" w:tentative="1">
      <w:start w:val="1"/>
      <w:numFmt w:val="bullet"/>
      <w:lvlText w:val="•"/>
      <w:lvlJc w:val="left"/>
      <w:pPr>
        <w:tabs>
          <w:tab w:val="num" w:pos="3600"/>
        </w:tabs>
        <w:ind w:left="3600" w:hanging="360"/>
      </w:pPr>
      <w:rPr>
        <w:rFonts w:ascii="Times New Roman" w:hAnsi="Times New Roman" w:hint="default"/>
      </w:rPr>
    </w:lvl>
    <w:lvl w:ilvl="5" w:tplc="30F20696" w:tentative="1">
      <w:start w:val="1"/>
      <w:numFmt w:val="bullet"/>
      <w:lvlText w:val="•"/>
      <w:lvlJc w:val="left"/>
      <w:pPr>
        <w:tabs>
          <w:tab w:val="num" w:pos="4320"/>
        </w:tabs>
        <w:ind w:left="4320" w:hanging="360"/>
      </w:pPr>
      <w:rPr>
        <w:rFonts w:ascii="Times New Roman" w:hAnsi="Times New Roman" w:hint="default"/>
      </w:rPr>
    </w:lvl>
    <w:lvl w:ilvl="6" w:tplc="E95E537C" w:tentative="1">
      <w:start w:val="1"/>
      <w:numFmt w:val="bullet"/>
      <w:lvlText w:val="•"/>
      <w:lvlJc w:val="left"/>
      <w:pPr>
        <w:tabs>
          <w:tab w:val="num" w:pos="5040"/>
        </w:tabs>
        <w:ind w:left="5040" w:hanging="360"/>
      </w:pPr>
      <w:rPr>
        <w:rFonts w:ascii="Times New Roman" w:hAnsi="Times New Roman" w:hint="default"/>
      </w:rPr>
    </w:lvl>
    <w:lvl w:ilvl="7" w:tplc="5276D50A" w:tentative="1">
      <w:start w:val="1"/>
      <w:numFmt w:val="bullet"/>
      <w:lvlText w:val="•"/>
      <w:lvlJc w:val="left"/>
      <w:pPr>
        <w:tabs>
          <w:tab w:val="num" w:pos="5760"/>
        </w:tabs>
        <w:ind w:left="5760" w:hanging="360"/>
      </w:pPr>
      <w:rPr>
        <w:rFonts w:ascii="Times New Roman" w:hAnsi="Times New Roman" w:hint="default"/>
      </w:rPr>
    </w:lvl>
    <w:lvl w:ilvl="8" w:tplc="5E8CAB2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C797069"/>
    <w:multiLevelType w:val="hybridMultilevel"/>
    <w:tmpl w:val="6EECEF9E"/>
    <w:lvl w:ilvl="0" w:tplc="23D88F8C">
      <w:start w:val="1"/>
      <w:numFmt w:val="bullet"/>
      <w:lvlText w:val="•"/>
      <w:lvlJc w:val="left"/>
      <w:pPr>
        <w:tabs>
          <w:tab w:val="num" w:pos="720"/>
        </w:tabs>
        <w:ind w:left="720" w:hanging="360"/>
      </w:pPr>
      <w:rPr>
        <w:rFonts w:ascii="Times New Roman" w:hAnsi="Times New Roman" w:hint="default"/>
      </w:rPr>
    </w:lvl>
    <w:lvl w:ilvl="1" w:tplc="5808B208" w:tentative="1">
      <w:start w:val="1"/>
      <w:numFmt w:val="bullet"/>
      <w:lvlText w:val="•"/>
      <w:lvlJc w:val="left"/>
      <w:pPr>
        <w:tabs>
          <w:tab w:val="num" w:pos="1440"/>
        </w:tabs>
        <w:ind w:left="1440" w:hanging="360"/>
      </w:pPr>
      <w:rPr>
        <w:rFonts w:ascii="Times New Roman" w:hAnsi="Times New Roman" w:hint="default"/>
      </w:rPr>
    </w:lvl>
    <w:lvl w:ilvl="2" w:tplc="6BB8D3A8" w:tentative="1">
      <w:start w:val="1"/>
      <w:numFmt w:val="bullet"/>
      <w:lvlText w:val="•"/>
      <w:lvlJc w:val="left"/>
      <w:pPr>
        <w:tabs>
          <w:tab w:val="num" w:pos="2160"/>
        </w:tabs>
        <w:ind w:left="2160" w:hanging="360"/>
      </w:pPr>
      <w:rPr>
        <w:rFonts w:ascii="Times New Roman" w:hAnsi="Times New Roman" w:hint="default"/>
      </w:rPr>
    </w:lvl>
    <w:lvl w:ilvl="3" w:tplc="49A01468" w:tentative="1">
      <w:start w:val="1"/>
      <w:numFmt w:val="bullet"/>
      <w:lvlText w:val="•"/>
      <w:lvlJc w:val="left"/>
      <w:pPr>
        <w:tabs>
          <w:tab w:val="num" w:pos="2880"/>
        </w:tabs>
        <w:ind w:left="2880" w:hanging="360"/>
      </w:pPr>
      <w:rPr>
        <w:rFonts w:ascii="Times New Roman" w:hAnsi="Times New Roman" w:hint="default"/>
      </w:rPr>
    </w:lvl>
    <w:lvl w:ilvl="4" w:tplc="5770E2D6" w:tentative="1">
      <w:start w:val="1"/>
      <w:numFmt w:val="bullet"/>
      <w:lvlText w:val="•"/>
      <w:lvlJc w:val="left"/>
      <w:pPr>
        <w:tabs>
          <w:tab w:val="num" w:pos="3600"/>
        </w:tabs>
        <w:ind w:left="3600" w:hanging="360"/>
      </w:pPr>
      <w:rPr>
        <w:rFonts w:ascii="Times New Roman" w:hAnsi="Times New Roman" w:hint="default"/>
      </w:rPr>
    </w:lvl>
    <w:lvl w:ilvl="5" w:tplc="AAFC27EA" w:tentative="1">
      <w:start w:val="1"/>
      <w:numFmt w:val="bullet"/>
      <w:lvlText w:val="•"/>
      <w:lvlJc w:val="left"/>
      <w:pPr>
        <w:tabs>
          <w:tab w:val="num" w:pos="4320"/>
        </w:tabs>
        <w:ind w:left="4320" w:hanging="360"/>
      </w:pPr>
      <w:rPr>
        <w:rFonts w:ascii="Times New Roman" w:hAnsi="Times New Roman" w:hint="default"/>
      </w:rPr>
    </w:lvl>
    <w:lvl w:ilvl="6" w:tplc="9B22DE6A" w:tentative="1">
      <w:start w:val="1"/>
      <w:numFmt w:val="bullet"/>
      <w:lvlText w:val="•"/>
      <w:lvlJc w:val="left"/>
      <w:pPr>
        <w:tabs>
          <w:tab w:val="num" w:pos="5040"/>
        </w:tabs>
        <w:ind w:left="5040" w:hanging="360"/>
      </w:pPr>
      <w:rPr>
        <w:rFonts w:ascii="Times New Roman" w:hAnsi="Times New Roman" w:hint="default"/>
      </w:rPr>
    </w:lvl>
    <w:lvl w:ilvl="7" w:tplc="37704604" w:tentative="1">
      <w:start w:val="1"/>
      <w:numFmt w:val="bullet"/>
      <w:lvlText w:val="•"/>
      <w:lvlJc w:val="left"/>
      <w:pPr>
        <w:tabs>
          <w:tab w:val="num" w:pos="5760"/>
        </w:tabs>
        <w:ind w:left="5760" w:hanging="360"/>
      </w:pPr>
      <w:rPr>
        <w:rFonts w:ascii="Times New Roman" w:hAnsi="Times New Roman" w:hint="default"/>
      </w:rPr>
    </w:lvl>
    <w:lvl w:ilvl="8" w:tplc="8C88B0D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F343EDF"/>
    <w:multiLevelType w:val="hybridMultilevel"/>
    <w:tmpl w:val="48B46ECA"/>
    <w:lvl w:ilvl="0" w:tplc="B2AE34C4">
      <w:start w:val="1"/>
      <w:numFmt w:val="bullet"/>
      <w:lvlText w:val="•"/>
      <w:lvlJc w:val="left"/>
      <w:pPr>
        <w:tabs>
          <w:tab w:val="num" w:pos="720"/>
        </w:tabs>
        <w:ind w:left="720" w:hanging="360"/>
      </w:pPr>
      <w:rPr>
        <w:rFonts w:ascii="Times New Roman" w:hAnsi="Times New Roman" w:hint="default"/>
      </w:rPr>
    </w:lvl>
    <w:lvl w:ilvl="1" w:tplc="9C8E6786" w:tentative="1">
      <w:start w:val="1"/>
      <w:numFmt w:val="bullet"/>
      <w:lvlText w:val="•"/>
      <w:lvlJc w:val="left"/>
      <w:pPr>
        <w:tabs>
          <w:tab w:val="num" w:pos="1440"/>
        </w:tabs>
        <w:ind w:left="1440" w:hanging="360"/>
      </w:pPr>
      <w:rPr>
        <w:rFonts w:ascii="Times New Roman" w:hAnsi="Times New Roman" w:hint="default"/>
      </w:rPr>
    </w:lvl>
    <w:lvl w:ilvl="2" w:tplc="04DE24E6" w:tentative="1">
      <w:start w:val="1"/>
      <w:numFmt w:val="bullet"/>
      <w:lvlText w:val="•"/>
      <w:lvlJc w:val="left"/>
      <w:pPr>
        <w:tabs>
          <w:tab w:val="num" w:pos="2160"/>
        </w:tabs>
        <w:ind w:left="2160" w:hanging="360"/>
      </w:pPr>
      <w:rPr>
        <w:rFonts w:ascii="Times New Roman" w:hAnsi="Times New Roman" w:hint="default"/>
      </w:rPr>
    </w:lvl>
    <w:lvl w:ilvl="3" w:tplc="DFE4AB96" w:tentative="1">
      <w:start w:val="1"/>
      <w:numFmt w:val="bullet"/>
      <w:lvlText w:val="•"/>
      <w:lvlJc w:val="left"/>
      <w:pPr>
        <w:tabs>
          <w:tab w:val="num" w:pos="2880"/>
        </w:tabs>
        <w:ind w:left="2880" w:hanging="360"/>
      </w:pPr>
      <w:rPr>
        <w:rFonts w:ascii="Times New Roman" w:hAnsi="Times New Roman" w:hint="default"/>
      </w:rPr>
    </w:lvl>
    <w:lvl w:ilvl="4" w:tplc="41D02250" w:tentative="1">
      <w:start w:val="1"/>
      <w:numFmt w:val="bullet"/>
      <w:lvlText w:val="•"/>
      <w:lvlJc w:val="left"/>
      <w:pPr>
        <w:tabs>
          <w:tab w:val="num" w:pos="3600"/>
        </w:tabs>
        <w:ind w:left="3600" w:hanging="360"/>
      </w:pPr>
      <w:rPr>
        <w:rFonts w:ascii="Times New Roman" w:hAnsi="Times New Roman" w:hint="default"/>
      </w:rPr>
    </w:lvl>
    <w:lvl w:ilvl="5" w:tplc="B43C02B4" w:tentative="1">
      <w:start w:val="1"/>
      <w:numFmt w:val="bullet"/>
      <w:lvlText w:val="•"/>
      <w:lvlJc w:val="left"/>
      <w:pPr>
        <w:tabs>
          <w:tab w:val="num" w:pos="4320"/>
        </w:tabs>
        <w:ind w:left="4320" w:hanging="360"/>
      </w:pPr>
      <w:rPr>
        <w:rFonts w:ascii="Times New Roman" w:hAnsi="Times New Roman" w:hint="default"/>
      </w:rPr>
    </w:lvl>
    <w:lvl w:ilvl="6" w:tplc="36CA5FD4" w:tentative="1">
      <w:start w:val="1"/>
      <w:numFmt w:val="bullet"/>
      <w:lvlText w:val="•"/>
      <w:lvlJc w:val="left"/>
      <w:pPr>
        <w:tabs>
          <w:tab w:val="num" w:pos="5040"/>
        </w:tabs>
        <w:ind w:left="5040" w:hanging="360"/>
      </w:pPr>
      <w:rPr>
        <w:rFonts w:ascii="Times New Roman" w:hAnsi="Times New Roman" w:hint="default"/>
      </w:rPr>
    </w:lvl>
    <w:lvl w:ilvl="7" w:tplc="E084CDDA" w:tentative="1">
      <w:start w:val="1"/>
      <w:numFmt w:val="bullet"/>
      <w:lvlText w:val="•"/>
      <w:lvlJc w:val="left"/>
      <w:pPr>
        <w:tabs>
          <w:tab w:val="num" w:pos="5760"/>
        </w:tabs>
        <w:ind w:left="5760" w:hanging="360"/>
      </w:pPr>
      <w:rPr>
        <w:rFonts w:ascii="Times New Roman" w:hAnsi="Times New Roman" w:hint="default"/>
      </w:rPr>
    </w:lvl>
    <w:lvl w:ilvl="8" w:tplc="CD50302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4"/>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6"/>
  </w:num>
  <w:num w:numId="8">
    <w:abstractNumId w:val="14"/>
  </w:num>
  <w:num w:numId="9">
    <w:abstractNumId w:val="5"/>
  </w:num>
  <w:num w:numId="10">
    <w:abstractNumId w:val="11"/>
  </w:num>
  <w:num w:numId="11">
    <w:abstractNumId w:val="13"/>
  </w:num>
  <w:num w:numId="12">
    <w:abstractNumId w:val="9"/>
  </w:num>
  <w:num w:numId="13">
    <w:abstractNumId w:val="8"/>
  </w:num>
  <w:num w:numId="14">
    <w:abstractNumId w:val="1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624EC"/>
    <w:rsid w:val="000123FB"/>
    <w:rsid w:val="000142C5"/>
    <w:rsid w:val="000243E9"/>
    <w:rsid w:val="0002706E"/>
    <w:rsid w:val="00040E87"/>
    <w:rsid w:val="00050FC3"/>
    <w:rsid w:val="00051AD0"/>
    <w:rsid w:val="00054CD9"/>
    <w:rsid w:val="00057331"/>
    <w:rsid w:val="00066CA1"/>
    <w:rsid w:val="000703B5"/>
    <w:rsid w:val="000769EE"/>
    <w:rsid w:val="00080C26"/>
    <w:rsid w:val="00083E12"/>
    <w:rsid w:val="000B11E4"/>
    <w:rsid w:val="000D70A9"/>
    <w:rsid w:val="00141CD1"/>
    <w:rsid w:val="0015137E"/>
    <w:rsid w:val="00160015"/>
    <w:rsid w:val="001C05EA"/>
    <w:rsid w:val="001E01D7"/>
    <w:rsid w:val="001F753B"/>
    <w:rsid w:val="002455FB"/>
    <w:rsid w:val="00287DFA"/>
    <w:rsid w:val="002A7A5B"/>
    <w:rsid w:val="002B7A92"/>
    <w:rsid w:val="002D36CE"/>
    <w:rsid w:val="002E511E"/>
    <w:rsid w:val="002F40A9"/>
    <w:rsid w:val="00320951"/>
    <w:rsid w:val="00331744"/>
    <w:rsid w:val="00341765"/>
    <w:rsid w:val="003533DA"/>
    <w:rsid w:val="00367B2F"/>
    <w:rsid w:val="00375317"/>
    <w:rsid w:val="003A5B11"/>
    <w:rsid w:val="003B2CAE"/>
    <w:rsid w:val="003B7392"/>
    <w:rsid w:val="003D7363"/>
    <w:rsid w:val="00402460"/>
    <w:rsid w:val="0041297D"/>
    <w:rsid w:val="004624EC"/>
    <w:rsid w:val="00477C19"/>
    <w:rsid w:val="00482727"/>
    <w:rsid w:val="004C19A9"/>
    <w:rsid w:val="0050447B"/>
    <w:rsid w:val="005326B8"/>
    <w:rsid w:val="00541118"/>
    <w:rsid w:val="00554570"/>
    <w:rsid w:val="0056403D"/>
    <w:rsid w:val="00570414"/>
    <w:rsid w:val="00573BB5"/>
    <w:rsid w:val="005B635B"/>
    <w:rsid w:val="005C0A64"/>
    <w:rsid w:val="005C0FBD"/>
    <w:rsid w:val="005C1801"/>
    <w:rsid w:val="005E193F"/>
    <w:rsid w:val="00632B1A"/>
    <w:rsid w:val="006400F1"/>
    <w:rsid w:val="006431B9"/>
    <w:rsid w:val="00661999"/>
    <w:rsid w:val="00664030"/>
    <w:rsid w:val="006736C0"/>
    <w:rsid w:val="006C5BC4"/>
    <w:rsid w:val="006D05E4"/>
    <w:rsid w:val="006E1E02"/>
    <w:rsid w:val="0073061B"/>
    <w:rsid w:val="00733FDC"/>
    <w:rsid w:val="00752246"/>
    <w:rsid w:val="007928E6"/>
    <w:rsid w:val="007966CE"/>
    <w:rsid w:val="007C2AE1"/>
    <w:rsid w:val="008434B4"/>
    <w:rsid w:val="0086282C"/>
    <w:rsid w:val="00863AD0"/>
    <w:rsid w:val="00885CEB"/>
    <w:rsid w:val="00885F4A"/>
    <w:rsid w:val="00887331"/>
    <w:rsid w:val="0088759E"/>
    <w:rsid w:val="00891701"/>
    <w:rsid w:val="0089383F"/>
    <w:rsid w:val="00894C50"/>
    <w:rsid w:val="0091610F"/>
    <w:rsid w:val="009A35D6"/>
    <w:rsid w:val="00A0772C"/>
    <w:rsid w:val="00A34FA0"/>
    <w:rsid w:val="00A5499D"/>
    <w:rsid w:val="00A57E23"/>
    <w:rsid w:val="00A64B4C"/>
    <w:rsid w:val="00A717C3"/>
    <w:rsid w:val="00A76C2A"/>
    <w:rsid w:val="00A7764A"/>
    <w:rsid w:val="00AD726C"/>
    <w:rsid w:val="00AF607D"/>
    <w:rsid w:val="00B5126C"/>
    <w:rsid w:val="00B673D1"/>
    <w:rsid w:val="00BD49F9"/>
    <w:rsid w:val="00BE2F7C"/>
    <w:rsid w:val="00BF6727"/>
    <w:rsid w:val="00C241CE"/>
    <w:rsid w:val="00C75E31"/>
    <w:rsid w:val="00C94E60"/>
    <w:rsid w:val="00CE256A"/>
    <w:rsid w:val="00CE5B58"/>
    <w:rsid w:val="00D31791"/>
    <w:rsid w:val="00D329EE"/>
    <w:rsid w:val="00D35125"/>
    <w:rsid w:val="00D76B75"/>
    <w:rsid w:val="00D85259"/>
    <w:rsid w:val="00DA452B"/>
    <w:rsid w:val="00DD3C9A"/>
    <w:rsid w:val="00E170C6"/>
    <w:rsid w:val="00EB73B3"/>
    <w:rsid w:val="00EC1F88"/>
    <w:rsid w:val="00ED7FB1"/>
    <w:rsid w:val="00EE6069"/>
    <w:rsid w:val="00EE7ADD"/>
    <w:rsid w:val="00F03F39"/>
    <w:rsid w:val="00F21660"/>
    <w:rsid w:val="00F22CAB"/>
    <w:rsid w:val="00F714A8"/>
    <w:rsid w:val="00F74B70"/>
    <w:rsid w:val="00F97C80"/>
    <w:rsid w:val="00FC60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A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400F1"/>
    <w:pPr>
      <w:ind w:left="720"/>
      <w:contextualSpacing/>
    </w:pPr>
  </w:style>
  <w:style w:type="paragraph" w:styleId="Header">
    <w:name w:val="header"/>
    <w:basedOn w:val="Normal"/>
    <w:link w:val="HeaderChar"/>
    <w:uiPriority w:val="99"/>
    <w:semiHidden/>
    <w:unhideWhenUsed/>
    <w:rsid w:val="006400F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400F1"/>
  </w:style>
  <w:style w:type="paragraph" w:styleId="Footer">
    <w:name w:val="footer"/>
    <w:basedOn w:val="Normal"/>
    <w:link w:val="FooterChar"/>
    <w:uiPriority w:val="99"/>
    <w:unhideWhenUsed/>
    <w:rsid w:val="006400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00F1"/>
  </w:style>
  <w:style w:type="paragraph" w:styleId="BalloonText">
    <w:name w:val="Balloon Text"/>
    <w:basedOn w:val="Normal"/>
    <w:link w:val="BalloonTextChar"/>
    <w:uiPriority w:val="99"/>
    <w:semiHidden/>
    <w:unhideWhenUsed/>
    <w:rsid w:val="00891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701"/>
    <w:rPr>
      <w:rFonts w:ascii="Tahoma" w:hAnsi="Tahoma" w:cs="Tahoma"/>
      <w:sz w:val="16"/>
      <w:szCs w:val="16"/>
    </w:rPr>
  </w:style>
  <w:style w:type="table" w:styleId="TableGrid">
    <w:name w:val="Table Grid"/>
    <w:basedOn w:val="TableNormal"/>
    <w:uiPriority w:val="59"/>
    <w:rsid w:val="000573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2706E"/>
    <w:rPr>
      <w:sz w:val="16"/>
      <w:szCs w:val="16"/>
    </w:rPr>
  </w:style>
  <w:style w:type="paragraph" w:styleId="CommentText">
    <w:name w:val="annotation text"/>
    <w:basedOn w:val="Normal"/>
    <w:link w:val="CommentTextChar"/>
    <w:uiPriority w:val="99"/>
    <w:semiHidden/>
    <w:unhideWhenUsed/>
    <w:rsid w:val="0002706E"/>
    <w:pPr>
      <w:spacing w:line="240" w:lineRule="auto"/>
    </w:pPr>
    <w:rPr>
      <w:sz w:val="20"/>
      <w:szCs w:val="20"/>
    </w:rPr>
  </w:style>
  <w:style w:type="character" w:customStyle="1" w:styleId="CommentTextChar">
    <w:name w:val="Comment Text Char"/>
    <w:basedOn w:val="DefaultParagraphFont"/>
    <w:link w:val="CommentText"/>
    <w:uiPriority w:val="99"/>
    <w:semiHidden/>
    <w:rsid w:val="0002706E"/>
    <w:rPr>
      <w:sz w:val="20"/>
      <w:szCs w:val="20"/>
    </w:rPr>
  </w:style>
  <w:style w:type="paragraph" w:styleId="CommentSubject">
    <w:name w:val="annotation subject"/>
    <w:basedOn w:val="CommentText"/>
    <w:next w:val="CommentText"/>
    <w:link w:val="CommentSubjectChar"/>
    <w:uiPriority w:val="99"/>
    <w:semiHidden/>
    <w:unhideWhenUsed/>
    <w:rsid w:val="0002706E"/>
    <w:rPr>
      <w:b/>
      <w:bCs/>
    </w:rPr>
  </w:style>
  <w:style w:type="character" w:customStyle="1" w:styleId="CommentSubjectChar">
    <w:name w:val="Comment Subject Char"/>
    <w:basedOn w:val="CommentTextChar"/>
    <w:link w:val="CommentSubject"/>
    <w:uiPriority w:val="99"/>
    <w:semiHidden/>
    <w:rsid w:val="0002706E"/>
    <w:rPr>
      <w:b/>
      <w:bCs/>
    </w:rPr>
  </w:style>
</w:styles>
</file>

<file path=word/webSettings.xml><?xml version="1.0" encoding="utf-8"?>
<w:webSettings xmlns:r="http://schemas.openxmlformats.org/officeDocument/2006/relationships" xmlns:w="http://schemas.openxmlformats.org/wordprocessingml/2006/main">
  <w:divs>
    <w:div w:id="51275168">
      <w:bodyDiv w:val="1"/>
      <w:marLeft w:val="0"/>
      <w:marRight w:val="0"/>
      <w:marTop w:val="0"/>
      <w:marBottom w:val="0"/>
      <w:divBdr>
        <w:top w:val="none" w:sz="0" w:space="0" w:color="auto"/>
        <w:left w:val="none" w:sz="0" w:space="0" w:color="auto"/>
        <w:bottom w:val="none" w:sz="0" w:space="0" w:color="auto"/>
        <w:right w:val="none" w:sz="0" w:space="0" w:color="auto"/>
      </w:divBdr>
      <w:divsChild>
        <w:div w:id="1090080473">
          <w:marLeft w:val="547"/>
          <w:marRight w:val="0"/>
          <w:marTop w:val="0"/>
          <w:marBottom w:val="0"/>
          <w:divBdr>
            <w:top w:val="none" w:sz="0" w:space="0" w:color="auto"/>
            <w:left w:val="none" w:sz="0" w:space="0" w:color="auto"/>
            <w:bottom w:val="none" w:sz="0" w:space="0" w:color="auto"/>
            <w:right w:val="none" w:sz="0" w:space="0" w:color="auto"/>
          </w:divBdr>
        </w:div>
      </w:divsChild>
    </w:div>
    <w:div w:id="59643506">
      <w:bodyDiv w:val="1"/>
      <w:marLeft w:val="0"/>
      <w:marRight w:val="0"/>
      <w:marTop w:val="0"/>
      <w:marBottom w:val="0"/>
      <w:divBdr>
        <w:top w:val="none" w:sz="0" w:space="0" w:color="auto"/>
        <w:left w:val="none" w:sz="0" w:space="0" w:color="auto"/>
        <w:bottom w:val="none" w:sz="0" w:space="0" w:color="auto"/>
        <w:right w:val="none" w:sz="0" w:space="0" w:color="auto"/>
      </w:divBdr>
      <w:divsChild>
        <w:div w:id="1156529073">
          <w:marLeft w:val="547"/>
          <w:marRight w:val="0"/>
          <w:marTop w:val="0"/>
          <w:marBottom w:val="0"/>
          <w:divBdr>
            <w:top w:val="none" w:sz="0" w:space="0" w:color="auto"/>
            <w:left w:val="none" w:sz="0" w:space="0" w:color="auto"/>
            <w:bottom w:val="none" w:sz="0" w:space="0" w:color="auto"/>
            <w:right w:val="none" w:sz="0" w:space="0" w:color="auto"/>
          </w:divBdr>
        </w:div>
      </w:divsChild>
    </w:div>
    <w:div w:id="97869431">
      <w:bodyDiv w:val="1"/>
      <w:marLeft w:val="0"/>
      <w:marRight w:val="0"/>
      <w:marTop w:val="0"/>
      <w:marBottom w:val="0"/>
      <w:divBdr>
        <w:top w:val="none" w:sz="0" w:space="0" w:color="auto"/>
        <w:left w:val="none" w:sz="0" w:space="0" w:color="auto"/>
        <w:bottom w:val="none" w:sz="0" w:space="0" w:color="auto"/>
        <w:right w:val="none" w:sz="0" w:space="0" w:color="auto"/>
      </w:divBdr>
    </w:div>
    <w:div w:id="334915066">
      <w:bodyDiv w:val="1"/>
      <w:marLeft w:val="0"/>
      <w:marRight w:val="0"/>
      <w:marTop w:val="0"/>
      <w:marBottom w:val="0"/>
      <w:divBdr>
        <w:top w:val="none" w:sz="0" w:space="0" w:color="auto"/>
        <w:left w:val="none" w:sz="0" w:space="0" w:color="auto"/>
        <w:bottom w:val="none" w:sz="0" w:space="0" w:color="auto"/>
        <w:right w:val="none" w:sz="0" w:space="0" w:color="auto"/>
      </w:divBdr>
      <w:divsChild>
        <w:div w:id="1302274561">
          <w:marLeft w:val="547"/>
          <w:marRight w:val="0"/>
          <w:marTop w:val="0"/>
          <w:marBottom w:val="0"/>
          <w:divBdr>
            <w:top w:val="none" w:sz="0" w:space="0" w:color="auto"/>
            <w:left w:val="none" w:sz="0" w:space="0" w:color="auto"/>
            <w:bottom w:val="none" w:sz="0" w:space="0" w:color="auto"/>
            <w:right w:val="none" w:sz="0" w:space="0" w:color="auto"/>
          </w:divBdr>
        </w:div>
      </w:divsChild>
    </w:div>
    <w:div w:id="571233957">
      <w:bodyDiv w:val="1"/>
      <w:marLeft w:val="0"/>
      <w:marRight w:val="0"/>
      <w:marTop w:val="0"/>
      <w:marBottom w:val="0"/>
      <w:divBdr>
        <w:top w:val="none" w:sz="0" w:space="0" w:color="auto"/>
        <w:left w:val="none" w:sz="0" w:space="0" w:color="auto"/>
        <w:bottom w:val="none" w:sz="0" w:space="0" w:color="auto"/>
        <w:right w:val="none" w:sz="0" w:space="0" w:color="auto"/>
      </w:divBdr>
      <w:divsChild>
        <w:div w:id="1438912651">
          <w:marLeft w:val="547"/>
          <w:marRight w:val="0"/>
          <w:marTop w:val="0"/>
          <w:marBottom w:val="0"/>
          <w:divBdr>
            <w:top w:val="none" w:sz="0" w:space="0" w:color="auto"/>
            <w:left w:val="none" w:sz="0" w:space="0" w:color="auto"/>
            <w:bottom w:val="none" w:sz="0" w:space="0" w:color="auto"/>
            <w:right w:val="none" w:sz="0" w:space="0" w:color="auto"/>
          </w:divBdr>
        </w:div>
        <w:div w:id="979992294">
          <w:marLeft w:val="547"/>
          <w:marRight w:val="0"/>
          <w:marTop w:val="0"/>
          <w:marBottom w:val="0"/>
          <w:divBdr>
            <w:top w:val="none" w:sz="0" w:space="0" w:color="auto"/>
            <w:left w:val="none" w:sz="0" w:space="0" w:color="auto"/>
            <w:bottom w:val="none" w:sz="0" w:space="0" w:color="auto"/>
            <w:right w:val="none" w:sz="0" w:space="0" w:color="auto"/>
          </w:divBdr>
        </w:div>
        <w:div w:id="1933929047">
          <w:marLeft w:val="547"/>
          <w:marRight w:val="0"/>
          <w:marTop w:val="0"/>
          <w:marBottom w:val="0"/>
          <w:divBdr>
            <w:top w:val="none" w:sz="0" w:space="0" w:color="auto"/>
            <w:left w:val="none" w:sz="0" w:space="0" w:color="auto"/>
            <w:bottom w:val="none" w:sz="0" w:space="0" w:color="auto"/>
            <w:right w:val="none" w:sz="0" w:space="0" w:color="auto"/>
          </w:divBdr>
        </w:div>
      </w:divsChild>
    </w:div>
    <w:div w:id="1053386374">
      <w:bodyDiv w:val="1"/>
      <w:marLeft w:val="0"/>
      <w:marRight w:val="0"/>
      <w:marTop w:val="0"/>
      <w:marBottom w:val="0"/>
      <w:divBdr>
        <w:top w:val="none" w:sz="0" w:space="0" w:color="auto"/>
        <w:left w:val="none" w:sz="0" w:space="0" w:color="auto"/>
        <w:bottom w:val="none" w:sz="0" w:space="0" w:color="auto"/>
        <w:right w:val="none" w:sz="0" w:space="0" w:color="auto"/>
      </w:divBdr>
      <w:divsChild>
        <w:div w:id="115099579">
          <w:marLeft w:val="547"/>
          <w:marRight w:val="0"/>
          <w:marTop w:val="0"/>
          <w:marBottom w:val="0"/>
          <w:divBdr>
            <w:top w:val="none" w:sz="0" w:space="0" w:color="auto"/>
            <w:left w:val="none" w:sz="0" w:space="0" w:color="auto"/>
            <w:bottom w:val="none" w:sz="0" w:space="0" w:color="auto"/>
            <w:right w:val="none" w:sz="0" w:space="0" w:color="auto"/>
          </w:divBdr>
        </w:div>
        <w:div w:id="2039352716">
          <w:marLeft w:val="547"/>
          <w:marRight w:val="0"/>
          <w:marTop w:val="0"/>
          <w:marBottom w:val="0"/>
          <w:divBdr>
            <w:top w:val="none" w:sz="0" w:space="0" w:color="auto"/>
            <w:left w:val="none" w:sz="0" w:space="0" w:color="auto"/>
            <w:bottom w:val="none" w:sz="0" w:space="0" w:color="auto"/>
            <w:right w:val="none" w:sz="0" w:space="0" w:color="auto"/>
          </w:divBdr>
        </w:div>
      </w:divsChild>
    </w:div>
    <w:div w:id="1061098673">
      <w:bodyDiv w:val="1"/>
      <w:marLeft w:val="0"/>
      <w:marRight w:val="0"/>
      <w:marTop w:val="0"/>
      <w:marBottom w:val="0"/>
      <w:divBdr>
        <w:top w:val="none" w:sz="0" w:space="0" w:color="auto"/>
        <w:left w:val="none" w:sz="0" w:space="0" w:color="auto"/>
        <w:bottom w:val="none" w:sz="0" w:space="0" w:color="auto"/>
        <w:right w:val="none" w:sz="0" w:space="0" w:color="auto"/>
      </w:divBdr>
      <w:divsChild>
        <w:div w:id="326593031">
          <w:marLeft w:val="547"/>
          <w:marRight w:val="0"/>
          <w:marTop w:val="0"/>
          <w:marBottom w:val="0"/>
          <w:divBdr>
            <w:top w:val="none" w:sz="0" w:space="0" w:color="auto"/>
            <w:left w:val="none" w:sz="0" w:space="0" w:color="auto"/>
            <w:bottom w:val="none" w:sz="0" w:space="0" w:color="auto"/>
            <w:right w:val="none" w:sz="0" w:space="0" w:color="auto"/>
          </w:divBdr>
        </w:div>
        <w:div w:id="846746943">
          <w:marLeft w:val="547"/>
          <w:marRight w:val="0"/>
          <w:marTop w:val="0"/>
          <w:marBottom w:val="0"/>
          <w:divBdr>
            <w:top w:val="none" w:sz="0" w:space="0" w:color="auto"/>
            <w:left w:val="none" w:sz="0" w:space="0" w:color="auto"/>
            <w:bottom w:val="none" w:sz="0" w:space="0" w:color="auto"/>
            <w:right w:val="none" w:sz="0" w:space="0" w:color="auto"/>
          </w:divBdr>
        </w:div>
        <w:div w:id="1650402295">
          <w:marLeft w:val="547"/>
          <w:marRight w:val="0"/>
          <w:marTop w:val="0"/>
          <w:marBottom w:val="0"/>
          <w:divBdr>
            <w:top w:val="none" w:sz="0" w:space="0" w:color="auto"/>
            <w:left w:val="none" w:sz="0" w:space="0" w:color="auto"/>
            <w:bottom w:val="none" w:sz="0" w:space="0" w:color="auto"/>
            <w:right w:val="none" w:sz="0" w:space="0" w:color="auto"/>
          </w:divBdr>
        </w:div>
      </w:divsChild>
    </w:div>
    <w:div w:id="1070812515">
      <w:bodyDiv w:val="1"/>
      <w:marLeft w:val="0"/>
      <w:marRight w:val="0"/>
      <w:marTop w:val="0"/>
      <w:marBottom w:val="0"/>
      <w:divBdr>
        <w:top w:val="none" w:sz="0" w:space="0" w:color="auto"/>
        <w:left w:val="none" w:sz="0" w:space="0" w:color="auto"/>
        <w:bottom w:val="none" w:sz="0" w:space="0" w:color="auto"/>
        <w:right w:val="none" w:sz="0" w:space="0" w:color="auto"/>
      </w:divBdr>
      <w:divsChild>
        <w:div w:id="495071228">
          <w:marLeft w:val="547"/>
          <w:marRight w:val="0"/>
          <w:marTop w:val="0"/>
          <w:marBottom w:val="0"/>
          <w:divBdr>
            <w:top w:val="none" w:sz="0" w:space="0" w:color="auto"/>
            <w:left w:val="none" w:sz="0" w:space="0" w:color="auto"/>
            <w:bottom w:val="none" w:sz="0" w:space="0" w:color="auto"/>
            <w:right w:val="none" w:sz="0" w:space="0" w:color="auto"/>
          </w:divBdr>
        </w:div>
        <w:div w:id="1776362256">
          <w:marLeft w:val="547"/>
          <w:marRight w:val="0"/>
          <w:marTop w:val="0"/>
          <w:marBottom w:val="0"/>
          <w:divBdr>
            <w:top w:val="none" w:sz="0" w:space="0" w:color="auto"/>
            <w:left w:val="none" w:sz="0" w:space="0" w:color="auto"/>
            <w:bottom w:val="none" w:sz="0" w:space="0" w:color="auto"/>
            <w:right w:val="none" w:sz="0" w:space="0" w:color="auto"/>
          </w:divBdr>
        </w:div>
        <w:div w:id="1006516983">
          <w:marLeft w:val="547"/>
          <w:marRight w:val="0"/>
          <w:marTop w:val="0"/>
          <w:marBottom w:val="0"/>
          <w:divBdr>
            <w:top w:val="none" w:sz="0" w:space="0" w:color="auto"/>
            <w:left w:val="none" w:sz="0" w:space="0" w:color="auto"/>
            <w:bottom w:val="none" w:sz="0" w:space="0" w:color="auto"/>
            <w:right w:val="none" w:sz="0" w:space="0" w:color="auto"/>
          </w:divBdr>
        </w:div>
      </w:divsChild>
    </w:div>
    <w:div w:id="1368026663">
      <w:bodyDiv w:val="1"/>
      <w:marLeft w:val="0"/>
      <w:marRight w:val="0"/>
      <w:marTop w:val="0"/>
      <w:marBottom w:val="0"/>
      <w:divBdr>
        <w:top w:val="none" w:sz="0" w:space="0" w:color="auto"/>
        <w:left w:val="none" w:sz="0" w:space="0" w:color="auto"/>
        <w:bottom w:val="none" w:sz="0" w:space="0" w:color="auto"/>
        <w:right w:val="none" w:sz="0" w:space="0" w:color="auto"/>
      </w:divBdr>
    </w:div>
    <w:div w:id="1537112137">
      <w:bodyDiv w:val="1"/>
      <w:marLeft w:val="0"/>
      <w:marRight w:val="0"/>
      <w:marTop w:val="0"/>
      <w:marBottom w:val="0"/>
      <w:divBdr>
        <w:top w:val="none" w:sz="0" w:space="0" w:color="auto"/>
        <w:left w:val="none" w:sz="0" w:space="0" w:color="auto"/>
        <w:bottom w:val="none" w:sz="0" w:space="0" w:color="auto"/>
        <w:right w:val="none" w:sz="0" w:space="0" w:color="auto"/>
      </w:divBdr>
      <w:divsChild>
        <w:div w:id="256062233">
          <w:marLeft w:val="547"/>
          <w:marRight w:val="0"/>
          <w:marTop w:val="0"/>
          <w:marBottom w:val="0"/>
          <w:divBdr>
            <w:top w:val="none" w:sz="0" w:space="0" w:color="auto"/>
            <w:left w:val="none" w:sz="0" w:space="0" w:color="auto"/>
            <w:bottom w:val="none" w:sz="0" w:space="0" w:color="auto"/>
            <w:right w:val="none" w:sz="0" w:space="0" w:color="auto"/>
          </w:divBdr>
        </w:div>
      </w:divsChild>
    </w:div>
    <w:div w:id="1564179122">
      <w:bodyDiv w:val="1"/>
      <w:marLeft w:val="0"/>
      <w:marRight w:val="0"/>
      <w:marTop w:val="0"/>
      <w:marBottom w:val="0"/>
      <w:divBdr>
        <w:top w:val="none" w:sz="0" w:space="0" w:color="auto"/>
        <w:left w:val="none" w:sz="0" w:space="0" w:color="auto"/>
        <w:bottom w:val="none" w:sz="0" w:space="0" w:color="auto"/>
        <w:right w:val="none" w:sz="0" w:space="0" w:color="auto"/>
      </w:divBdr>
      <w:divsChild>
        <w:div w:id="1901939923">
          <w:marLeft w:val="547"/>
          <w:marRight w:val="0"/>
          <w:marTop w:val="0"/>
          <w:marBottom w:val="0"/>
          <w:divBdr>
            <w:top w:val="none" w:sz="0" w:space="0" w:color="auto"/>
            <w:left w:val="none" w:sz="0" w:space="0" w:color="auto"/>
            <w:bottom w:val="none" w:sz="0" w:space="0" w:color="auto"/>
            <w:right w:val="none" w:sz="0" w:space="0" w:color="auto"/>
          </w:divBdr>
        </w:div>
      </w:divsChild>
    </w:div>
    <w:div w:id="1885671318">
      <w:bodyDiv w:val="1"/>
      <w:marLeft w:val="0"/>
      <w:marRight w:val="0"/>
      <w:marTop w:val="0"/>
      <w:marBottom w:val="0"/>
      <w:divBdr>
        <w:top w:val="none" w:sz="0" w:space="0" w:color="auto"/>
        <w:left w:val="none" w:sz="0" w:space="0" w:color="auto"/>
        <w:bottom w:val="none" w:sz="0" w:space="0" w:color="auto"/>
        <w:right w:val="none" w:sz="0" w:space="0" w:color="auto"/>
      </w:divBdr>
      <w:divsChild>
        <w:div w:id="1713269058">
          <w:marLeft w:val="547"/>
          <w:marRight w:val="0"/>
          <w:marTop w:val="0"/>
          <w:marBottom w:val="0"/>
          <w:divBdr>
            <w:top w:val="none" w:sz="0" w:space="0" w:color="auto"/>
            <w:left w:val="none" w:sz="0" w:space="0" w:color="auto"/>
            <w:bottom w:val="none" w:sz="0" w:space="0" w:color="auto"/>
            <w:right w:val="none" w:sz="0" w:space="0" w:color="auto"/>
          </w:divBdr>
        </w:div>
        <w:div w:id="977683760">
          <w:marLeft w:val="547"/>
          <w:marRight w:val="0"/>
          <w:marTop w:val="0"/>
          <w:marBottom w:val="0"/>
          <w:divBdr>
            <w:top w:val="none" w:sz="0" w:space="0" w:color="auto"/>
            <w:left w:val="none" w:sz="0" w:space="0" w:color="auto"/>
            <w:bottom w:val="none" w:sz="0" w:space="0" w:color="auto"/>
            <w:right w:val="none" w:sz="0" w:space="0" w:color="auto"/>
          </w:divBdr>
        </w:div>
      </w:divsChild>
    </w:div>
    <w:div w:id="1981181546">
      <w:bodyDiv w:val="1"/>
      <w:marLeft w:val="0"/>
      <w:marRight w:val="0"/>
      <w:marTop w:val="0"/>
      <w:marBottom w:val="0"/>
      <w:divBdr>
        <w:top w:val="none" w:sz="0" w:space="0" w:color="auto"/>
        <w:left w:val="none" w:sz="0" w:space="0" w:color="auto"/>
        <w:bottom w:val="none" w:sz="0" w:space="0" w:color="auto"/>
        <w:right w:val="none" w:sz="0" w:space="0" w:color="auto"/>
      </w:divBdr>
    </w:div>
    <w:div w:id="203345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1648</Words>
  <Characters>9396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11022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Essex Machines</dc:creator>
  <cp:lastModifiedBy>pjc</cp:lastModifiedBy>
  <cp:revision>2</cp:revision>
  <cp:lastPrinted>2013-01-22T10:36:00Z</cp:lastPrinted>
  <dcterms:created xsi:type="dcterms:W3CDTF">2013-01-23T09:04:00Z</dcterms:created>
  <dcterms:modified xsi:type="dcterms:W3CDTF">2013-01-23T09:04:00Z</dcterms:modified>
</cp:coreProperties>
</file>