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BF977" w14:textId="77777777" w:rsidR="00E95A51" w:rsidRDefault="00E95A51" w:rsidP="00E95A51">
      <w:pPr>
        <w:spacing w:after="0" w:line="240" w:lineRule="auto"/>
        <w:jc w:val="center"/>
        <w:rPr>
          <w:b/>
          <w:bCs/>
          <w:sz w:val="28"/>
          <w:szCs w:val="28"/>
        </w:rPr>
      </w:pPr>
    </w:p>
    <w:p w14:paraId="2E0A8B82" w14:textId="2EE5DDD5" w:rsidR="00E95A51" w:rsidRPr="00E95A51" w:rsidRDefault="00E95A51" w:rsidP="00E95A51">
      <w:pPr>
        <w:spacing w:after="0" w:line="240" w:lineRule="auto"/>
        <w:jc w:val="center"/>
        <w:rPr>
          <w:b/>
          <w:bCs/>
          <w:sz w:val="28"/>
          <w:szCs w:val="28"/>
        </w:rPr>
      </w:pPr>
      <w:r w:rsidRPr="00E95A51">
        <w:rPr>
          <w:b/>
          <w:bCs/>
          <w:sz w:val="28"/>
          <w:szCs w:val="28"/>
        </w:rPr>
        <w:t>Funding Support for Public and Policy Engagement and Participatory Research</w:t>
      </w:r>
    </w:p>
    <w:p w14:paraId="62EB6908" w14:textId="77777777" w:rsidR="00E95A51" w:rsidRDefault="00E95A51" w:rsidP="00151872">
      <w:pPr>
        <w:spacing w:after="0" w:line="240" w:lineRule="auto"/>
        <w:rPr>
          <w:b/>
          <w:bCs/>
          <w:sz w:val="24"/>
          <w:szCs w:val="24"/>
        </w:rPr>
      </w:pPr>
    </w:p>
    <w:p w14:paraId="001B03C9" w14:textId="1406E511" w:rsidR="00151872" w:rsidRPr="00EE5387" w:rsidRDefault="00151872" w:rsidP="00151872">
      <w:pPr>
        <w:spacing w:after="0" w:line="240" w:lineRule="auto"/>
        <w:rPr>
          <w:b/>
          <w:bCs/>
          <w:sz w:val="24"/>
          <w:szCs w:val="24"/>
        </w:rPr>
      </w:pPr>
      <w:r w:rsidRPr="00EE5387">
        <w:rPr>
          <w:b/>
          <w:bCs/>
          <w:sz w:val="24"/>
          <w:szCs w:val="24"/>
        </w:rPr>
        <w:t>P</w:t>
      </w:r>
      <w:r w:rsidR="00A61506" w:rsidRPr="00EE5387">
        <w:rPr>
          <w:b/>
          <w:bCs/>
          <w:sz w:val="24"/>
          <w:szCs w:val="24"/>
        </w:rPr>
        <w:t>olicy Support Fund</w:t>
      </w:r>
      <w:r w:rsidR="0095199F">
        <w:rPr>
          <w:b/>
          <w:bCs/>
          <w:sz w:val="24"/>
          <w:szCs w:val="24"/>
        </w:rPr>
        <w:t xml:space="preserve"> (PSF)</w:t>
      </w:r>
    </w:p>
    <w:p w14:paraId="52F25CC5" w14:textId="36DDDF30" w:rsidR="00A61506" w:rsidRDefault="00A61506" w:rsidP="00151872">
      <w:pPr>
        <w:spacing w:after="0" w:line="240" w:lineRule="auto"/>
        <w:rPr>
          <w:b/>
          <w:bCs/>
        </w:rPr>
      </w:pPr>
    </w:p>
    <w:p w14:paraId="041291E9" w14:textId="2C3766BF" w:rsidR="00A61506" w:rsidRDefault="00A61506" w:rsidP="00A61506">
      <w:pPr>
        <w:spacing w:after="0" w:line="240" w:lineRule="auto"/>
        <w:jc w:val="both"/>
      </w:pPr>
      <w:r>
        <w:t xml:space="preserve">The University of Essex has been awarded funding from Research England’s Policy Support Fund (PSF) </w:t>
      </w:r>
      <w:r w:rsidRPr="00A61506">
        <w:t>to support research activity aimed at evidence</w:t>
      </w:r>
      <w:r>
        <w:t>-</w:t>
      </w:r>
      <w:r w:rsidRPr="00A61506">
        <w:t xml:space="preserve">based policy making. The funding is for universities to undertake research with local, regional, national and international structures (including parliament, central government, devolved administrations, local government, health and education bodies, the justice system and other regulatory organisations) with a particular focus on local and regional challenges. Applications of up to </w:t>
      </w:r>
      <w:r w:rsidRPr="00A61506">
        <w:rPr>
          <w:b/>
          <w:bCs/>
        </w:rPr>
        <w:t>£10,000</w:t>
      </w:r>
      <w:r w:rsidRPr="00A61506">
        <w:t xml:space="preserve"> </w:t>
      </w:r>
      <w:r>
        <w:t xml:space="preserve">per project </w:t>
      </w:r>
      <w:r w:rsidRPr="00A61506">
        <w:t xml:space="preserve">will be considered. </w:t>
      </w:r>
      <w:r>
        <w:t xml:space="preserve">Proposals could include: </w:t>
      </w:r>
    </w:p>
    <w:p w14:paraId="57743DC8" w14:textId="77777777" w:rsidR="00A61506" w:rsidRDefault="00A61506" w:rsidP="00A61506">
      <w:pPr>
        <w:spacing w:after="0" w:line="240" w:lineRule="auto"/>
        <w:jc w:val="both"/>
      </w:pPr>
    </w:p>
    <w:p w14:paraId="21730CF5" w14:textId="77777777" w:rsidR="00A61506" w:rsidRDefault="00A61506" w:rsidP="00A61506">
      <w:pPr>
        <w:pStyle w:val="ListParagraph"/>
        <w:numPr>
          <w:ilvl w:val="0"/>
          <w:numId w:val="5"/>
        </w:numPr>
        <w:spacing w:after="0" w:line="240" w:lineRule="auto"/>
        <w:jc w:val="both"/>
      </w:pPr>
      <w:r>
        <w:t>New research activity working in partnership with policymakers, particularly to better understand local, regional or national challenges</w:t>
      </w:r>
    </w:p>
    <w:p w14:paraId="55C4CAAD" w14:textId="77777777" w:rsidR="00A61506" w:rsidRDefault="00A61506" w:rsidP="00A61506">
      <w:pPr>
        <w:pStyle w:val="ListParagraph"/>
        <w:numPr>
          <w:ilvl w:val="0"/>
          <w:numId w:val="5"/>
        </w:numPr>
        <w:spacing w:after="0" w:line="240" w:lineRule="auto"/>
        <w:jc w:val="both"/>
      </w:pPr>
      <w:r>
        <w:t>Extending existing policy-related research activity</w:t>
      </w:r>
    </w:p>
    <w:p w14:paraId="79A0271C" w14:textId="77777777" w:rsidR="00A61506" w:rsidRDefault="00A61506" w:rsidP="00A61506">
      <w:pPr>
        <w:pStyle w:val="ListParagraph"/>
        <w:numPr>
          <w:ilvl w:val="0"/>
          <w:numId w:val="5"/>
        </w:numPr>
        <w:spacing w:after="0" w:line="240" w:lineRule="auto"/>
        <w:jc w:val="both"/>
      </w:pPr>
      <w:r>
        <w:t>Facilitating the use of existing research and the exchange of knowledge between universities and policymakers</w:t>
      </w:r>
    </w:p>
    <w:p w14:paraId="10095C54" w14:textId="77777777" w:rsidR="00A61506" w:rsidRDefault="00A61506" w:rsidP="00A61506">
      <w:pPr>
        <w:pStyle w:val="ListParagraph"/>
        <w:numPr>
          <w:ilvl w:val="0"/>
          <w:numId w:val="5"/>
        </w:numPr>
        <w:spacing w:after="0" w:line="240" w:lineRule="auto"/>
        <w:jc w:val="both"/>
      </w:pPr>
      <w:r>
        <w:t>Activity aimed at improving the dialogue between universities and policymakers</w:t>
      </w:r>
    </w:p>
    <w:p w14:paraId="5227BF6E" w14:textId="77777777" w:rsidR="00A61506" w:rsidRDefault="00A61506" w:rsidP="00A61506">
      <w:pPr>
        <w:pStyle w:val="ListParagraph"/>
        <w:numPr>
          <w:ilvl w:val="0"/>
          <w:numId w:val="5"/>
        </w:numPr>
        <w:spacing w:after="0" w:line="240" w:lineRule="auto"/>
        <w:jc w:val="both"/>
      </w:pPr>
      <w:r>
        <w:t>Activity and training to better equip academics, including postgraduate researchers and early career researchers, to communicate effectively with policymakers</w:t>
      </w:r>
    </w:p>
    <w:p w14:paraId="59E7D2A6" w14:textId="77777777" w:rsidR="00A61506" w:rsidRDefault="00A61506" w:rsidP="00A61506">
      <w:pPr>
        <w:pStyle w:val="ListParagraph"/>
        <w:numPr>
          <w:ilvl w:val="0"/>
          <w:numId w:val="5"/>
        </w:numPr>
        <w:spacing w:after="0" w:line="240" w:lineRule="auto"/>
        <w:jc w:val="both"/>
      </w:pPr>
      <w:r>
        <w:t>Partnerships and collaborations aimed at supporting evidence-based policymaking</w:t>
      </w:r>
    </w:p>
    <w:p w14:paraId="7F8EAF24" w14:textId="496681F9" w:rsidR="00A61506" w:rsidRDefault="00A61506" w:rsidP="00A61506">
      <w:pPr>
        <w:pStyle w:val="ListParagraph"/>
        <w:numPr>
          <w:ilvl w:val="0"/>
          <w:numId w:val="5"/>
        </w:numPr>
        <w:spacing w:after="0" w:line="240" w:lineRule="auto"/>
        <w:jc w:val="both"/>
      </w:pPr>
      <w:r>
        <w:t xml:space="preserve">The exchange of people </w:t>
      </w:r>
      <w:r w:rsidR="00252E55">
        <w:t xml:space="preserve">e.g., </w:t>
      </w:r>
      <w:r>
        <w:t>staff secondments, contributing towards professional doctorates in policy, joint PhDs, etc</w:t>
      </w:r>
    </w:p>
    <w:p w14:paraId="3001E2DC" w14:textId="77777777" w:rsidR="00A61506" w:rsidRDefault="00A61506" w:rsidP="00A61506">
      <w:pPr>
        <w:spacing w:after="0" w:line="240" w:lineRule="auto"/>
        <w:jc w:val="both"/>
      </w:pPr>
    </w:p>
    <w:p w14:paraId="78C8044F" w14:textId="46AB2D9E" w:rsidR="00A61506" w:rsidRPr="0065432C" w:rsidRDefault="00A61506" w:rsidP="00A61506">
      <w:pPr>
        <w:spacing w:after="0" w:line="240" w:lineRule="auto"/>
        <w:jc w:val="both"/>
      </w:pPr>
      <w:r w:rsidRPr="0065432C">
        <w:t xml:space="preserve">All funds must be spent by </w:t>
      </w:r>
      <w:r w:rsidRPr="00A61506">
        <w:rPr>
          <w:b/>
          <w:bCs/>
        </w:rPr>
        <w:t>31 March 2023</w:t>
      </w:r>
      <w:r w:rsidRPr="0065432C">
        <w:t>.</w:t>
      </w:r>
    </w:p>
    <w:p w14:paraId="79CA83FC" w14:textId="3FB62085" w:rsidR="00151872" w:rsidRDefault="00151872" w:rsidP="00A61506">
      <w:pPr>
        <w:spacing w:after="0" w:line="240" w:lineRule="auto"/>
        <w:jc w:val="both"/>
        <w:rPr>
          <w:rFonts w:cstheme="minorHAnsi"/>
        </w:rPr>
      </w:pPr>
    </w:p>
    <w:p w14:paraId="345076C8" w14:textId="428A00E5" w:rsidR="00536FD8" w:rsidRPr="00EE5387" w:rsidRDefault="00536FD8" w:rsidP="00536FD8">
      <w:pPr>
        <w:spacing w:after="0" w:line="240" w:lineRule="auto"/>
        <w:jc w:val="both"/>
        <w:rPr>
          <w:rFonts w:cstheme="minorHAnsi"/>
          <w:b/>
          <w:bCs/>
          <w:sz w:val="24"/>
          <w:szCs w:val="24"/>
        </w:rPr>
      </w:pPr>
      <w:r w:rsidRPr="00EE5387">
        <w:rPr>
          <w:rFonts w:cstheme="minorHAnsi"/>
          <w:b/>
          <w:bCs/>
          <w:sz w:val="24"/>
          <w:szCs w:val="24"/>
        </w:rPr>
        <w:t xml:space="preserve">Participatory Research Fund </w:t>
      </w:r>
      <w:r w:rsidR="0095199F">
        <w:rPr>
          <w:rFonts w:cstheme="minorHAnsi"/>
          <w:b/>
          <w:bCs/>
          <w:sz w:val="24"/>
          <w:szCs w:val="24"/>
        </w:rPr>
        <w:t>(PRF)</w:t>
      </w:r>
    </w:p>
    <w:p w14:paraId="56B505DF" w14:textId="77777777" w:rsidR="00536FD8" w:rsidRPr="00536FD8" w:rsidRDefault="00536FD8" w:rsidP="00536FD8">
      <w:pPr>
        <w:spacing w:after="0" w:line="240" w:lineRule="auto"/>
        <w:jc w:val="both"/>
        <w:rPr>
          <w:rFonts w:cstheme="minorHAnsi"/>
          <w:b/>
          <w:bCs/>
        </w:rPr>
      </w:pPr>
    </w:p>
    <w:p w14:paraId="6D587E26" w14:textId="7C9504F8" w:rsidR="009D6E8E" w:rsidRDefault="009D6E8E" w:rsidP="00536FD8">
      <w:pPr>
        <w:spacing w:after="0" w:line="240" w:lineRule="auto"/>
        <w:jc w:val="both"/>
        <w:rPr>
          <w:rFonts w:cstheme="minorHAnsi"/>
        </w:rPr>
      </w:pPr>
      <w:r>
        <w:rPr>
          <w:rFonts w:cstheme="minorHAnsi"/>
        </w:rPr>
        <w:t xml:space="preserve">The University of Essex has been awarded funding from Research England to support participatory research. </w:t>
      </w:r>
      <w:r w:rsidRPr="00151872">
        <w:rPr>
          <w:rFonts w:cstheme="minorHAnsi"/>
        </w:rPr>
        <w:t>Participatory research is broadly defined as public participation in research, with public participants contributing at any stage of the research lifecycle (e</w:t>
      </w:r>
      <w:r w:rsidR="00536FD8">
        <w:rPr>
          <w:rFonts w:cstheme="minorHAnsi"/>
        </w:rPr>
        <w:t>.</w:t>
      </w:r>
      <w:r w:rsidRPr="00151872">
        <w:rPr>
          <w:rFonts w:cstheme="minorHAnsi"/>
        </w:rPr>
        <w:t>g.</w:t>
      </w:r>
      <w:r w:rsidR="00252E55">
        <w:rPr>
          <w:rFonts w:cstheme="minorHAnsi"/>
        </w:rPr>
        <w:t>,</w:t>
      </w:r>
      <w:r w:rsidRPr="00151872">
        <w:rPr>
          <w:rFonts w:cstheme="minorHAnsi"/>
        </w:rPr>
        <w:t xml:space="preserve"> co-production, co-creation, citizen science). </w:t>
      </w:r>
      <w:r w:rsidRPr="00A61506">
        <w:t xml:space="preserve">Applications of up to </w:t>
      </w:r>
      <w:r w:rsidRPr="00A61506">
        <w:rPr>
          <w:b/>
          <w:bCs/>
        </w:rPr>
        <w:t>£1</w:t>
      </w:r>
      <w:r>
        <w:rPr>
          <w:b/>
          <w:bCs/>
        </w:rPr>
        <w:t>5</w:t>
      </w:r>
      <w:r w:rsidRPr="00A61506">
        <w:rPr>
          <w:b/>
          <w:bCs/>
        </w:rPr>
        <w:t>,000</w:t>
      </w:r>
      <w:r w:rsidRPr="00A61506">
        <w:t xml:space="preserve"> </w:t>
      </w:r>
      <w:r>
        <w:t xml:space="preserve">per project </w:t>
      </w:r>
      <w:r w:rsidRPr="00A61506">
        <w:t>will be considered.</w:t>
      </w:r>
      <w:r>
        <w:rPr>
          <w:rFonts w:cstheme="minorHAnsi"/>
        </w:rPr>
        <w:t xml:space="preserve"> </w:t>
      </w:r>
      <w:r w:rsidRPr="00151872">
        <w:rPr>
          <w:rFonts w:cstheme="minorHAnsi"/>
        </w:rPr>
        <w:t>Participatory Research funding can be used to cover the costs of co-produced research and to run capacity-building activities such as:</w:t>
      </w:r>
    </w:p>
    <w:p w14:paraId="00B316C4" w14:textId="77777777" w:rsidR="00536FD8" w:rsidRPr="00151872" w:rsidRDefault="00536FD8" w:rsidP="00536FD8">
      <w:pPr>
        <w:spacing w:after="0" w:line="240" w:lineRule="auto"/>
        <w:jc w:val="both"/>
        <w:rPr>
          <w:rFonts w:cstheme="minorHAnsi"/>
        </w:rPr>
      </w:pPr>
    </w:p>
    <w:p w14:paraId="68E1752E" w14:textId="3DB00FFD" w:rsidR="009D6E8E" w:rsidRPr="00536FD8" w:rsidRDefault="009D6E8E" w:rsidP="00536FD8">
      <w:pPr>
        <w:pStyle w:val="ListParagraph"/>
        <w:numPr>
          <w:ilvl w:val="0"/>
          <w:numId w:val="6"/>
        </w:numPr>
        <w:spacing w:after="0" w:line="240" w:lineRule="auto"/>
        <w:jc w:val="both"/>
        <w:rPr>
          <w:rFonts w:cstheme="minorHAnsi"/>
        </w:rPr>
      </w:pPr>
      <w:r w:rsidRPr="00536FD8">
        <w:rPr>
          <w:rFonts w:cstheme="minorHAnsi"/>
        </w:rPr>
        <w:t xml:space="preserve">Pilot projects using innovative models and methodologies for participatory research </w:t>
      </w:r>
    </w:p>
    <w:p w14:paraId="40C63A1D" w14:textId="0522801C" w:rsidR="009D6E8E" w:rsidRPr="00536FD8" w:rsidRDefault="009D6E8E" w:rsidP="00536FD8">
      <w:pPr>
        <w:pStyle w:val="ListParagraph"/>
        <w:numPr>
          <w:ilvl w:val="0"/>
          <w:numId w:val="6"/>
        </w:numPr>
        <w:spacing w:after="0" w:line="240" w:lineRule="auto"/>
        <w:jc w:val="both"/>
        <w:rPr>
          <w:rFonts w:cstheme="minorHAnsi"/>
        </w:rPr>
      </w:pPr>
      <w:r w:rsidRPr="00536FD8">
        <w:rPr>
          <w:rFonts w:cstheme="minorHAnsi"/>
        </w:rPr>
        <w:t>The development of materials to support researchers interested in developing their skills in</w:t>
      </w:r>
      <w:r w:rsidR="00536FD8" w:rsidRPr="00536FD8">
        <w:rPr>
          <w:rFonts w:cstheme="minorHAnsi"/>
        </w:rPr>
        <w:t xml:space="preserve"> </w:t>
      </w:r>
      <w:r w:rsidRPr="00536FD8">
        <w:rPr>
          <w:rFonts w:cstheme="minorHAnsi"/>
        </w:rPr>
        <w:t>participatory research, and public engagement activities that are related to participatory and co</w:t>
      </w:r>
      <w:r w:rsidR="00536FD8" w:rsidRPr="00536FD8">
        <w:rPr>
          <w:rFonts w:cstheme="minorHAnsi"/>
        </w:rPr>
        <w:t>-</w:t>
      </w:r>
      <w:r w:rsidRPr="00536FD8">
        <w:rPr>
          <w:rFonts w:cstheme="minorHAnsi"/>
        </w:rPr>
        <w:t xml:space="preserve">produced research </w:t>
      </w:r>
    </w:p>
    <w:p w14:paraId="794FDC21" w14:textId="555D0483" w:rsidR="009D6E8E" w:rsidRPr="00536FD8" w:rsidRDefault="009D6E8E" w:rsidP="00536FD8">
      <w:pPr>
        <w:pStyle w:val="ListParagraph"/>
        <w:numPr>
          <w:ilvl w:val="0"/>
          <w:numId w:val="6"/>
        </w:numPr>
        <w:spacing w:after="0" w:line="240" w:lineRule="auto"/>
        <w:jc w:val="both"/>
        <w:rPr>
          <w:rFonts w:cstheme="minorHAnsi"/>
        </w:rPr>
      </w:pPr>
      <w:r w:rsidRPr="00536FD8">
        <w:rPr>
          <w:rFonts w:cstheme="minorHAnsi"/>
        </w:rPr>
        <w:t>Case studies and evidence of the impact of co-produced research, and evaluations of the effectiveness of co-production from different institutions/disciplines</w:t>
      </w:r>
    </w:p>
    <w:p w14:paraId="061CB160" w14:textId="1B29F063" w:rsidR="009D6E8E" w:rsidRDefault="009D6E8E" w:rsidP="00536FD8">
      <w:pPr>
        <w:spacing w:after="0" w:line="240" w:lineRule="auto"/>
        <w:jc w:val="both"/>
        <w:rPr>
          <w:b/>
        </w:rPr>
      </w:pPr>
    </w:p>
    <w:p w14:paraId="061286B9" w14:textId="7CED1FB5" w:rsidR="009D6E8E" w:rsidRPr="0065432C" w:rsidRDefault="00536FD8" w:rsidP="00A61506">
      <w:pPr>
        <w:spacing w:after="0" w:line="240" w:lineRule="auto"/>
        <w:jc w:val="both"/>
        <w:rPr>
          <w:b/>
          <w:bCs/>
        </w:rPr>
      </w:pPr>
      <w:r w:rsidRPr="0065432C">
        <w:t xml:space="preserve">All funds must be spent by </w:t>
      </w:r>
      <w:r w:rsidRPr="00A61506">
        <w:rPr>
          <w:b/>
          <w:bCs/>
        </w:rPr>
        <w:t xml:space="preserve">31 </w:t>
      </w:r>
      <w:r w:rsidR="0065432C">
        <w:rPr>
          <w:b/>
          <w:bCs/>
        </w:rPr>
        <w:t>July</w:t>
      </w:r>
      <w:r w:rsidRPr="00A61506">
        <w:rPr>
          <w:b/>
          <w:bCs/>
        </w:rPr>
        <w:t xml:space="preserve"> 2023</w:t>
      </w:r>
      <w:r w:rsidRPr="0065432C">
        <w:t>.</w:t>
      </w:r>
    </w:p>
    <w:p w14:paraId="490A5BDE" w14:textId="2F1FDAFC" w:rsidR="00A61506" w:rsidRDefault="00A61506" w:rsidP="00A61506">
      <w:pPr>
        <w:spacing w:after="0" w:line="240" w:lineRule="auto"/>
        <w:jc w:val="both"/>
        <w:rPr>
          <w:rFonts w:cstheme="minorHAnsi"/>
        </w:rPr>
      </w:pPr>
    </w:p>
    <w:p w14:paraId="7420C4E5" w14:textId="3D11AA21" w:rsidR="000056A0" w:rsidRPr="00EE5387" w:rsidRDefault="000056A0" w:rsidP="00A61506">
      <w:pPr>
        <w:spacing w:after="0" w:line="240" w:lineRule="auto"/>
        <w:jc w:val="both"/>
        <w:rPr>
          <w:rFonts w:cstheme="minorHAnsi"/>
          <w:b/>
          <w:bCs/>
          <w:sz w:val="24"/>
          <w:szCs w:val="24"/>
        </w:rPr>
      </w:pPr>
      <w:r w:rsidRPr="00EE5387">
        <w:rPr>
          <w:rFonts w:cstheme="minorHAnsi"/>
          <w:b/>
          <w:bCs/>
          <w:sz w:val="24"/>
          <w:szCs w:val="24"/>
        </w:rPr>
        <w:t>C</w:t>
      </w:r>
      <w:r w:rsidR="007C619E" w:rsidRPr="00EE5387">
        <w:rPr>
          <w:rFonts w:cstheme="minorHAnsi"/>
          <w:b/>
          <w:bCs/>
          <w:sz w:val="24"/>
          <w:szCs w:val="24"/>
        </w:rPr>
        <w:t>entre for Public and Policy Engagement - E</w:t>
      </w:r>
      <w:r w:rsidRPr="00EE5387">
        <w:rPr>
          <w:rFonts w:cstheme="minorHAnsi"/>
          <w:b/>
          <w:bCs/>
          <w:sz w:val="24"/>
          <w:szCs w:val="24"/>
        </w:rPr>
        <w:t xml:space="preserve">ngagement Fund </w:t>
      </w:r>
    </w:p>
    <w:p w14:paraId="4CE2EB21" w14:textId="69B892B2" w:rsidR="000056A0" w:rsidRPr="008F04D2" w:rsidRDefault="000056A0" w:rsidP="00A61506">
      <w:pPr>
        <w:spacing w:after="0" w:line="240" w:lineRule="auto"/>
        <w:jc w:val="both"/>
        <w:rPr>
          <w:rFonts w:cstheme="minorHAnsi"/>
        </w:rPr>
      </w:pPr>
    </w:p>
    <w:p w14:paraId="2D90CB59" w14:textId="7D7FA26F" w:rsidR="007C619E" w:rsidRPr="007C619E" w:rsidRDefault="007C619E" w:rsidP="007C619E">
      <w:pPr>
        <w:spacing w:after="0" w:line="240" w:lineRule="auto"/>
        <w:jc w:val="both"/>
        <w:rPr>
          <w:rFonts w:cstheme="minorHAnsi"/>
        </w:rPr>
      </w:pPr>
      <w:r w:rsidRPr="008F04D2">
        <w:rPr>
          <w:rFonts w:cstheme="minorHAnsi"/>
        </w:rPr>
        <w:t xml:space="preserve">The </w:t>
      </w:r>
      <w:r w:rsidR="008F04D2" w:rsidRPr="008F04D2">
        <w:rPr>
          <w:rFonts w:cstheme="minorHAnsi"/>
        </w:rPr>
        <w:t>Centre for Public and Policy Engagement (</w:t>
      </w:r>
      <w:r w:rsidRPr="008F04D2">
        <w:rPr>
          <w:rFonts w:cstheme="minorHAnsi"/>
        </w:rPr>
        <w:t>CPPE</w:t>
      </w:r>
      <w:r w:rsidR="008F04D2" w:rsidRPr="008F04D2">
        <w:rPr>
          <w:rFonts w:cstheme="minorHAnsi"/>
        </w:rPr>
        <w:t>)</w:t>
      </w:r>
      <w:r w:rsidRPr="008F04D2">
        <w:rPr>
          <w:rFonts w:cstheme="minorHAnsi"/>
        </w:rPr>
        <w:t xml:space="preserve"> Engagement Fund supports academic and research staff to explore opportunities to engage public and policy audiences with their research. </w:t>
      </w:r>
      <w:r w:rsidRPr="008F04D2">
        <w:rPr>
          <w:rFonts w:cstheme="minorHAnsi"/>
        </w:rPr>
        <w:lastRenderedPageBreak/>
        <w:t xml:space="preserve">Small grants </w:t>
      </w:r>
      <w:r w:rsidR="00EF5FCC" w:rsidRPr="008F04D2">
        <w:rPr>
          <w:rFonts w:cstheme="minorHAnsi"/>
        </w:rPr>
        <w:t xml:space="preserve">of up to </w:t>
      </w:r>
      <w:r w:rsidR="00EF5FCC" w:rsidRPr="008F04D2">
        <w:rPr>
          <w:rFonts w:cstheme="minorHAnsi"/>
          <w:b/>
          <w:bCs/>
        </w:rPr>
        <w:t>£2000</w:t>
      </w:r>
      <w:r w:rsidR="00EF5FCC" w:rsidRPr="008F04D2">
        <w:rPr>
          <w:rFonts w:cstheme="minorHAnsi"/>
        </w:rPr>
        <w:t xml:space="preserve"> </w:t>
      </w:r>
      <w:r w:rsidRPr="008F04D2">
        <w:rPr>
          <w:rFonts w:cstheme="minorHAnsi"/>
        </w:rPr>
        <w:t>will be available to support</w:t>
      </w:r>
      <w:r w:rsidR="002C6438">
        <w:rPr>
          <w:rFonts w:cstheme="minorHAnsi"/>
        </w:rPr>
        <w:t xml:space="preserve"> </w:t>
      </w:r>
      <w:r w:rsidRPr="007C619E">
        <w:rPr>
          <w:rFonts w:cstheme="minorHAnsi"/>
        </w:rPr>
        <w:t>travel, engagement activities and events, which will target specific audiences from the public, policy and third sectors. The activity should:</w:t>
      </w:r>
    </w:p>
    <w:p w14:paraId="26D5D566" w14:textId="77777777" w:rsidR="007C619E" w:rsidRPr="007C619E" w:rsidRDefault="007C619E" w:rsidP="007C619E">
      <w:pPr>
        <w:spacing w:after="0" w:line="240" w:lineRule="auto"/>
        <w:jc w:val="both"/>
        <w:rPr>
          <w:rFonts w:cstheme="minorHAnsi"/>
        </w:rPr>
      </w:pPr>
    </w:p>
    <w:p w14:paraId="74686924" w14:textId="449EDA1A" w:rsidR="007C619E" w:rsidRPr="007C619E" w:rsidRDefault="007C619E" w:rsidP="007C619E">
      <w:pPr>
        <w:pStyle w:val="ListParagraph"/>
        <w:numPr>
          <w:ilvl w:val="0"/>
          <w:numId w:val="7"/>
        </w:numPr>
        <w:spacing w:after="0" w:line="240" w:lineRule="auto"/>
        <w:jc w:val="both"/>
        <w:rPr>
          <w:rFonts w:cstheme="minorHAnsi"/>
        </w:rPr>
      </w:pPr>
      <w:r w:rsidRPr="007C619E">
        <w:rPr>
          <w:rFonts w:cstheme="minorHAnsi"/>
        </w:rPr>
        <w:t>Show clear societal benefit</w:t>
      </w:r>
    </w:p>
    <w:p w14:paraId="64968808" w14:textId="1D21E36D" w:rsidR="007C619E" w:rsidRPr="007C619E" w:rsidRDefault="007C619E" w:rsidP="007C619E">
      <w:pPr>
        <w:pStyle w:val="ListParagraph"/>
        <w:numPr>
          <w:ilvl w:val="0"/>
          <w:numId w:val="7"/>
        </w:numPr>
        <w:spacing w:after="0" w:line="240" w:lineRule="auto"/>
        <w:jc w:val="both"/>
        <w:rPr>
          <w:rFonts w:cstheme="minorHAnsi"/>
        </w:rPr>
      </w:pPr>
      <w:r w:rsidRPr="007C619E">
        <w:rPr>
          <w:rFonts w:cstheme="minorHAnsi"/>
        </w:rPr>
        <w:t>Engage a clearly defined non-academic public or policy audience</w:t>
      </w:r>
    </w:p>
    <w:p w14:paraId="7DED81C8" w14:textId="381E871E" w:rsidR="007C619E" w:rsidRPr="007C619E" w:rsidRDefault="007C619E" w:rsidP="007C619E">
      <w:pPr>
        <w:pStyle w:val="ListParagraph"/>
        <w:numPr>
          <w:ilvl w:val="0"/>
          <w:numId w:val="7"/>
        </w:numPr>
        <w:spacing w:after="0" w:line="240" w:lineRule="auto"/>
        <w:jc w:val="both"/>
        <w:rPr>
          <w:rFonts w:cstheme="minorHAnsi"/>
        </w:rPr>
      </w:pPr>
      <w:r w:rsidRPr="007C619E">
        <w:rPr>
          <w:rFonts w:cstheme="minorHAnsi"/>
        </w:rPr>
        <w:t>Demonstrate how two-way engagement provided mutual benefit</w:t>
      </w:r>
    </w:p>
    <w:p w14:paraId="1B98BE8F" w14:textId="06325E6C" w:rsidR="007C619E" w:rsidRPr="007C619E" w:rsidRDefault="007C619E" w:rsidP="007C619E">
      <w:pPr>
        <w:pStyle w:val="ListParagraph"/>
        <w:numPr>
          <w:ilvl w:val="0"/>
          <w:numId w:val="7"/>
        </w:numPr>
        <w:spacing w:after="0" w:line="240" w:lineRule="auto"/>
        <w:jc w:val="both"/>
        <w:rPr>
          <w:rFonts w:cstheme="minorHAnsi"/>
        </w:rPr>
      </w:pPr>
      <w:r w:rsidRPr="007C619E">
        <w:rPr>
          <w:rFonts w:cstheme="minorHAnsi"/>
        </w:rPr>
        <w:t>Demonstrate a clear link to Essex research</w:t>
      </w:r>
    </w:p>
    <w:p w14:paraId="4DD332D0" w14:textId="77777777" w:rsidR="007C619E" w:rsidRPr="007C619E" w:rsidRDefault="007C619E" w:rsidP="007C619E">
      <w:pPr>
        <w:spacing w:after="0" w:line="240" w:lineRule="auto"/>
        <w:jc w:val="both"/>
        <w:rPr>
          <w:rFonts w:cstheme="minorHAnsi"/>
        </w:rPr>
      </w:pPr>
    </w:p>
    <w:p w14:paraId="3A513E9D" w14:textId="5D4AC79F" w:rsidR="007C619E" w:rsidRPr="007C619E" w:rsidRDefault="003C1E50" w:rsidP="007C619E">
      <w:pPr>
        <w:spacing w:after="0" w:line="240" w:lineRule="auto"/>
        <w:jc w:val="both"/>
        <w:rPr>
          <w:rFonts w:cstheme="minorHAnsi"/>
        </w:rPr>
      </w:pPr>
      <w:r>
        <w:rPr>
          <w:rFonts w:cstheme="minorHAnsi"/>
        </w:rPr>
        <w:t>For this call p</w:t>
      </w:r>
      <w:r w:rsidR="007C619E" w:rsidRPr="007C619E">
        <w:rPr>
          <w:rFonts w:cstheme="minorHAnsi"/>
        </w:rPr>
        <w:t>riority will be given to projects that:</w:t>
      </w:r>
    </w:p>
    <w:p w14:paraId="59DBD9D6" w14:textId="77777777" w:rsidR="007C619E" w:rsidRPr="007C619E" w:rsidRDefault="007C619E" w:rsidP="007C619E">
      <w:pPr>
        <w:spacing w:after="0" w:line="240" w:lineRule="auto"/>
        <w:jc w:val="both"/>
        <w:rPr>
          <w:rFonts w:cstheme="minorHAnsi"/>
        </w:rPr>
      </w:pPr>
    </w:p>
    <w:p w14:paraId="6A3439C5" w14:textId="1991435D" w:rsidR="007C619E" w:rsidRPr="003C1E50" w:rsidRDefault="007C619E" w:rsidP="003C1E50">
      <w:pPr>
        <w:pStyle w:val="ListParagraph"/>
        <w:numPr>
          <w:ilvl w:val="0"/>
          <w:numId w:val="8"/>
        </w:numPr>
        <w:spacing w:after="0" w:line="240" w:lineRule="auto"/>
        <w:jc w:val="both"/>
        <w:rPr>
          <w:rFonts w:cstheme="minorHAnsi"/>
        </w:rPr>
      </w:pPr>
      <w:r w:rsidRPr="003C1E50">
        <w:rPr>
          <w:rFonts w:cstheme="minorHAnsi"/>
        </w:rPr>
        <w:t>Contain activities that reach disengaged, hard to reach or under-served audiences</w:t>
      </w:r>
    </w:p>
    <w:p w14:paraId="0372E7FE" w14:textId="74D215D5" w:rsidR="000056A0" w:rsidRPr="003C1E50" w:rsidRDefault="007C619E" w:rsidP="003C1E50">
      <w:pPr>
        <w:pStyle w:val="ListParagraph"/>
        <w:numPr>
          <w:ilvl w:val="0"/>
          <w:numId w:val="8"/>
        </w:numPr>
        <w:spacing w:after="0" w:line="240" w:lineRule="auto"/>
        <w:jc w:val="both"/>
        <w:rPr>
          <w:rFonts w:cstheme="minorHAnsi"/>
        </w:rPr>
      </w:pPr>
      <w:r w:rsidRPr="003C1E50">
        <w:rPr>
          <w:rFonts w:cstheme="minorHAnsi"/>
        </w:rPr>
        <w:t xml:space="preserve">Contain activities which explore issues relevant to </w:t>
      </w:r>
      <w:r w:rsidR="003C1E50" w:rsidRPr="003C1E50">
        <w:rPr>
          <w:rFonts w:cstheme="minorHAnsi"/>
        </w:rPr>
        <w:t xml:space="preserve">coastal </w:t>
      </w:r>
      <w:r w:rsidRPr="003C1E50">
        <w:rPr>
          <w:rFonts w:cstheme="minorHAnsi"/>
        </w:rPr>
        <w:t>communities</w:t>
      </w:r>
    </w:p>
    <w:p w14:paraId="719BA8EC" w14:textId="77777777" w:rsidR="003C1E50" w:rsidRDefault="003C1E50" w:rsidP="007C619E">
      <w:pPr>
        <w:spacing w:after="0" w:line="240" w:lineRule="auto"/>
        <w:rPr>
          <w:b/>
          <w:bCs/>
        </w:rPr>
      </w:pPr>
    </w:p>
    <w:p w14:paraId="691DBBFF" w14:textId="77777777" w:rsidR="00EE5387" w:rsidRPr="0065432C" w:rsidRDefault="00EE5387" w:rsidP="00EE5387">
      <w:pPr>
        <w:spacing w:after="0" w:line="240" w:lineRule="auto"/>
        <w:jc w:val="both"/>
        <w:rPr>
          <w:b/>
          <w:bCs/>
        </w:rPr>
      </w:pPr>
      <w:r w:rsidRPr="0065432C">
        <w:t xml:space="preserve">All funds must be spent by </w:t>
      </w:r>
      <w:r w:rsidRPr="00A61506">
        <w:rPr>
          <w:b/>
          <w:bCs/>
        </w:rPr>
        <w:t xml:space="preserve">31 </w:t>
      </w:r>
      <w:r>
        <w:rPr>
          <w:b/>
          <w:bCs/>
        </w:rPr>
        <w:t>July</w:t>
      </w:r>
      <w:r w:rsidRPr="00A61506">
        <w:rPr>
          <w:b/>
          <w:bCs/>
        </w:rPr>
        <w:t xml:space="preserve"> 2023</w:t>
      </w:r>
      <w:r w:rsidRPr="0065432C">
        <w:t>.</w:t>
      </w:r>
    </w:p>
    <w:p w14:paraId="372D8A41" w14:textId="77777777" w:rsidR="00EE5387" w:rsidRDefault="00EE5387" w:rsidP="007C619E">
      <w:pPr>
        <w:spacing w:after="0" w:line="240" w:lineRule="auto"/>
        <w:rPr>
          <w:b/>
          <w:bCs/>
        </w:rPr>
      </w:pPr>
    </w:p>
    <w:p w14:paraId="563C03D3" w14:textId="332BECF0" w:rsidR="003C1E50" w:rsidRPr="003C1E50" w:rsidRDefault="003C1E50" w:rsidP="007C619E">
      <w:pPr>
        <w:spacing w:after="0" w:line="240" w:lineRule="auto"/>
        <w:rPr>
          <w:b/>
          <w:bCs/>
        </w:rPr>
      </w:pPr>
      <w:r w:rsidRPr="003C1E50">
        <w:rPr>
          <w:b/>
          <w:bCs/>
        </w:rPr>
        <w:t>What costs are Eligible?</w:t>
      </w:r>
    </w:p>
    <w:p w14:paraId="06F07EF2" w14:textId="77777777" w:rsidR="003C1E50" w:rsidRDefault="003C1E50" w:rsidP="007C619E">
      <w:pPr>
        <w:spacing w:after="0" w:line="240" w:lineRule="auto"/>
      </w:pPr>
    </w:p>
    <w:p w14:paraId="2029042B" w14:textId="18D8F502" w:rsidR="007C619E" w:rsidRPr="003C1E50" w:rsidRDefault="007C619E" w:rsidP="00EF5FCC">
      <w:pPr>
        <w:spacing w:after="0" w:line="240" w:lineRule="auto"/>
        <w:jc w:val="both"/>
        <w:rPr>
          <w:b/>
          <w:bCs/>
        </w:rPr>
      </w:pPr>
      <w:r w:rsidRPr="003C1E50">
        <w:t>Eligible costs</w:t>
      </w:r>
      <w:r w:rsidR="003C1E50" w:rsidRPr="003C1E50">
        <w:t xml:space="preserve"> for all </w:t>
      </w:r>
      <w:r w:rsidR="003C1E50">
        <w:t xml:space="preserve">three </w:t>
      </w:r>
      <w:r w:rsidR="003C1E50" w:rsidRPr="003C1E50">
        <w:t xml:space="preserve">schemes include </w:t>
      </w:r>
      <w:r w:rsidRPr="003C1E50">
        <w:t>Research Assistant salaries, activities related to research and data collection, engagement with stakeholders</w:t>
      </w:r>
      <w:r w:rsidRPr="0060777B">
        <w:t xml:space="preserve">, </w:t>
      </w:r>
      <w:r>
        <w:t xml:space="preserve">training and development events, </w:t>
      </w:r>
      <w:r w:rsidRPr="0060777B">
        <w:t>workshops, travel and conference attendance. Buyout of teaching and costs associated with publishing a journal article</w:t>
      </w:r>
      <w:r w:rsidR="003C1E50">
        <w:t>, are not eligible.</w:t>
      </w:r>
    </w:p>
    <w:p w14:paraId="1061A3E8" w14:textId="77777777" w:rsidR="007C619E" w:rsidRDefault="007C619E" w:rsidP="00A61506">
      <w:pPr>
        <w:spacing w:after="0" w:line="240" w:lineRule="auto"/>
        <w:jc w:val="both"/>
        <w:rPr>
          <w:b/>
          <w:bCs/>
        </w:rPr>
      </w:pPr>
    </w:p>
    <w:p w14:paraId="5FFC5284" w14:textId="0F0A1203" w:rsidR="009D6E8E" w:rsidRDefault="009D6E8E" w:rsidP="00A61506">
      <w:pPr>
        <w:spacing w:after="0" w:line="240" w:lineRule="auto"/>
        <w:jc w:val="both"/>
        <w:rPr>
          <w:b/>
          <w:bCs/>
        </w:rPr>
      </w:pPr>
      <w:r w:rsidRPr="009D6E8E">
        <w:rPr>
          <w:b/>
          <w:bCs/>
        </w:rPr>
        <w:t xml:space="preserve">How to apply </w:t>
      </w:r>
    </w:p>
    <w:p w14:paraId="3A91F593" w14:textId="77777777" w:rsidR="0065432C" w:rsidRPr="009D6E8E" w:rsidRDefault="0065432C" w:rsidP="00A61506">
      <w:pPr>
        <w:spacing w:after="0" w:line="240" w:lineRule="auto"/>
        <w:jc w:val="both"/>
        <w:rPr>
          <w:b/>
          <w:bCs/>
        </w:rPr>
      </w:pPr>
    </w:p>
    <w:p w14:paraId="1ABC27A3" w14:textId="0A16FF2A" w:rsidR="009D6E8E" w:rsidRPr="00697556" w:rsidRDefault="009D6E8E" w:rsidP="00A61506">
      <w:pPr>
        <w:spacing w:after="0" w:line="240" w:lineRule="auto"/>
        <w:jc w:val="both"/>
      </w:pPr>
      <w:r>
        <w:t>Please complete the application form</w:t>
      </w:r>
      <w:r w:rsidR="000056A0">
        <w:t>, stating which fund you are applying for</w:t>
      </w:r>
      <w:r>
        <w:t xml:space="preserve"> and return to </w:t>
      </w:r>
      <w:hyperlink r:id="rId10" w:history="1">
        <w:r w:rsidR="007154CD" w:rsidRPr="00F74426">
          <w:rPr>
            <w:rStyle w:val="Hyperlink"/>
          </w:rPr>
          <w:t>policy-engagement@essex.ac.uk</w:t>
        </w:r>
      </w:hyperlink>
      <w:r w:rsidR="00536FD8">
        <w:t xml:space="preserve">. </w:t>
      </w:r>
      <w:r>
        <w:t xml:space="preserve">Any queries </w:t>
      </w:r>
      <w:r w:rsidR="0065432C">
        <w:t xml:space="preserve">and requests for indicative costs </w:t>
      </w:r>
      <w:r>
        <w:t xml:space="preserve">can also be directed to this email address. </w:t>
      </w:r>
      <w:r w:rsidR="00072684">
        <w:t>The d</w:t>
      </w:r>
      <w:r>
        <w:t>eadline</w:t>
      </w:r>
      <w:r w:rsidR="00072684">
        <w:t xml:space="preserve"> for applications is</w:t>
      </w:r>
      <w:r>
        <w:t xml:space="preserve"> </w:t>
      </w:r>
      <w:r w:rsidRPr="009D6E8E">
        <w:rPr>
          <w:b/>
          <w:bCs/>
        </w:rPr>
        <w:t>1</w:t>
      </w:r>
      <w:r w:rsidR="00072684">
        <w:rPr>
          <w:b/>
          <w:bCs/>
        </w:rPr>
        <w:t>4</w:t>
      </w:r>
      <w:r w:rsidRPr="009D6E8E">
        <w:rPr>
          <w:b/>
          <w:bCs/>
        </w:rPr>
        <w:t xml:space="preserve"> November 2022</w:t>
      </w:r>
      <w:r w:rsidR="00072684">
        <w:t>. Applications will be reviewed by a panel and outcomes are expected to be communicated w/c 21 November.</w:t>
      </w:r>
    </w:p>
    <w:p w14:paraId="3F6928C0" w14:textId="77777777" w:rsidR="00072684" w:rsidRDefault="00072684" w:rsidP="00151872">
      <w:pPr>
        <w:spacing w:after="0" w:line="240" w:lineRule="auto"/>
        <w:rPr>
          <w:rFonts w:cstheme="minorHAnsi"/>
          <w:b/>
          <w:bCs/>
        </w:rPr>
      </w:pPr>
    </w:p>
    <w:p w14:paraId="3CBA06B9" w14:textId="0C86D26F" w:rsidR="00536FD8" w:rsidRDefault="00536FD8" w:rsidP="00536FD8">
      <w:pPr>
        <w:spacing w:after="0" w:line="240" w:lineRule="auto"/>
        <w:jc w:val="both"/>
        <w:rPr>
          <w:b/>
        </w:rPr>
      </w:pPr>
      <w:r w:rsidRPr="008B1565">
        <w:rPr>
          <w:b/>
        </w:rPr>
        <w:t>Post award processes</w:t>
      </w:r>
    </w:p>
    <w:p w14:paraId="2B43B17C" w14:textId="77777777" w:rsidR="0065432C" w:rsidRDefault="0065432C" w:rsidP="00536FD8">
      <w:pPr>
        <w:spacing w:after="0" w:line="240" w:lineRule="auto"/>
        <w:jc w:val="both"/>
        <w:rPr>
          <w:b/>
        </w:rPr>
      </w:pPr>
    </w:p>
    <w:p w14:paraId="32B3FF32" w14:textId="63EC3A2E" w:rsidR="00DB7BFE" w:rsidRDefault="003C1E50" w:rsidP="0065432C">
      <w:pPr>
        <w:spacing w:after="0" w:line="240" w:lineRule="auto"/>
        <w:jc w:val="both"/>
      </w:pPr>
      <w:r>
        <w:t xml:space="preserve">Successful applicants </w:t>
      </w:r>
      <w:r w:rsidR="00536FD8" w:rsidRPr="0060777B">
        <w:t xml:space="preserve">will be allocated a faculty code to spend against. </w:t>
      </w:r>
      <w:r w:rsidR="0065432C">
        <w:t>PSF</w:t>
      </w:r>
      <w:r w:rsidR="00536FD8" w:rsidRPr="0060777B">
        <w:t xml:space="preserve"> codes will close on </w:t>
      </w:r>
      <w:r w:rsidR="00536FD8" w:rsidRPr="00A61506">
        <w:rPr>
          <w:b/>
          <w:bCs/>
        </w:rPr>
        <w:t>31 March 2023</w:t>
      </w:r>
      <w:r w:rsidR="000056A0" w:rsidRPr="000056A0">
        <w:t>.</w:t>
      </w:r>
      <w:r w:rsidR="00536FD8" w:rsidRPr="000056A0">
        <w:t xml:space="preserve"> </w:t>
      </w:r>
      <w:r w:rsidR="000056A0">
        <w:t>CPPE and</w:t>
      </w:r>
      <w:r w:rsidR="0065432C">
        <w:t xml:space="preserve"> PRF codes </w:t>
      </w:r>
      <w:r w:rsidR="000056A0">
        <w:t xml:space="preserve">will close </w:t>
      </w:r>
      <w:r w:rsidR="0065432C">
        <w:t xml:space="preserve">on </w:t>
      </w:r>
      <w:r w:rsidR="0065432C" w:rsidRPr="0065432C">
        <w:rPr>
          <w:b/>
          <w:bCs/>
        </w:rPr>
        <w:t>31 July 2023</w:t>
      </w:r>
      <w:r w:rsidR="000056A0">
        <w:t>. N</w:t>
      </w:r>
      <w:r w:rsidR="00536FD8" w:rsidRPr="0060777B">
        <w:t xml:space="preserve">o spending </w:t>
      </w:r>
      <w:r w:rsidR="000056A0">
        <w:t xml:space="preserve">is </w:t>
      </w:r>
      <w:r w:rsidR="00536FD8" w:rsidRPr="0060777B">
        <w:t>permitted after th</w:t>
      </w:r>
      <w:r w:rsidR="0065432C">
        <w:t xml:space="preserve">ose </w:t>
      </w:r>
      <w:r w:rsidR="00536FD8" w:rsidRPr="0060777B">
        <w:t>date</w:t>
      </w:r>
      <w:r w:rsidR="0065432C">
        <w:t>s</w:t>
      </w:r>
      <w:r w:rsidR="00536FD8">
        <w:t xml:space="preserve"> (please note that there is no facility to rollover unspent funds into the next financial year)</w:t>
      </w:r>
      <w:r w:rsidR="00536FD8" w:rsidRPr="0060777B">
        <w:t>.</w:t>
      </w:r>
      <w:r w:rsidR="0065432C">
        <w:t xml:space="preserve"> </w:t>
      </w:r>
      <w:r w:rsidR="0065432C" w:rsidRPr="0060777B">
        <w:t xml:space="preserve">All recipients will be required to complete a short </w:t>
      </w:r>
      <w:r w:rsidR="0065432C">
        <w:t>report</w:t>
      </w:r>
      <w:r w:rsidR="0065432C" w:rsidRPr="0060777B">
        <w:t xml:space="preserve"> at the end of the funding.  </w:t>
      </w:r>
      <w:r w:rsidR="008F04D2" w:rsidRPr="008F04D2">
        <w:t>Please</w:t>
      </w:r>
      <w:r w:rsidR="008F04D2">
        <w:t xml:space="preserve"> note, if your project involves human participants, it may need ethical approval before a cost code can be issued. See</w:t>
      </w:r>
      <w:r w:rsidR="008F04D2" w:rsidRPr="008F04D2">
        <w:t xml:space="preserve"> </w:t>
      </w:r>
      <w:hyperlink r:id="rId11" w:history="1">
        <w:r w:rsidR="008F04D2" w:rsidRPr="008F04D2">
          <w:rPr>
            <w:rStyle w:val="Hyperlink"/>
          </w:rPr>
          <w:t>guidance on obtaining e</w:t>
        </w:r>
        <w:r w:rsidR="00DB7BFE" w:rsidRPr="008F04D2">
          <w:rPr>
            <w:rStyle w:val="Hyperlink"/>
          </w:rPr>
          <w:t>thic</w:t>
        </w:r>
        <w:r w:rsidR="008F04D2" w:rsidRPr="008F04D2">
          <w:rPr>
            <w:rStyle w:val="Hyperlink"/>
          </w:rPr>
          <w:t>al approval</w:t>
        </w:r>
      </w:hyperlink>
      <w:r w:rsidR="008F04D2" w:rsidRPr="008F04D2">
        <w:t xml:space="preserve"> for research involving human participants.</w:t>
      </w:r>
    </w:p>
    <w:p w14:paraId="773756DE" w14:textId="77777777" w:rsidR="0065432C" w:rsidRPr="0060777B" w:rsidRDefault="0065432C" w:rsidP="00536FD8">
      <w:pPr>
        <w:spacing w:after="0" w:line="240" w:lineRule="auto"/>
        <w:jc w:val="both"/>
      </w:pPr>
    </w:p>
    <w:p w14:paraId="02C0E266" w14:textId="77777777" w:rsidR="00536FD8" w:rsidRDefault="00536FD8" w:rsidP="00151872">
      <w:pPr>
        <w:spacing w:after="0" w:line="240" w:lineRule="auto"/>
        <w:rPr>
          <w:rFonts w:cstheme="minorHAnsi"/>
          <w:b/>
          <w:bCs/>
        </w:rPr>
      </w:pPr>
    </w:p>
    <w:p w14:paraId="4B81035A" w14:textId="77777777" w:rsidR="00151872" w:rsidRPr="00151872" w:rsidRDefault="00151872" w:rsidP="00151872">
      <w:pPr>
        <w:spacing w:after="0" w:line="240" w:lineRule="auto"/>
        <w:rPr>
          <w:rFonts w:cstheme="minorHAnsi"/>
          <w:b/>
          <w:bCs/>
        </w:rPr>
      </w:pPr>
    </w:p>
    <w:sectPr w:rsidR="00151872" w:rsidRPr="00151872">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1E5E8" w14:textId="77777777" w:rsidR="00F176E9" w:rsidRDefault="00F176E9" w:rsidP="00E95A51">
      <w:pPr>
        <w:spacing w:after="0" w:line="240" w:lineRule="auto"/>
      </w:pPr>
      <w:r>
        <w:separator/>
      </w:r>
    </w:p>
  </w:endnote>
  <w:endnote w:type="continuationSeparator" w:id="0">
    <w:p w14:paraId="65FE4119" w14:textId="77777777" w:rsidR="00F176E9" w:rsidRDefault="00F176E9" w:rsidP="00E95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90B1A" w14:textId="77777777" w:rsidR="00F176E9" w:rsidRDefault="00F176E9" w:rsidP="00E95A51">
      <w:pPr>
        <w:spacing w:after="0" w:line="240" w:lineRule="auto"/>
      </w:pPr>
      <w:r>
        <w:separator/>
      </w:r>
    </w:p>
  </w:footnote>
  <w:footnote w:type="continuationSeparator" w:id="0">
    <w:p w14:paraId="05AEAA14" w14:textId="77777777" w:rsidR="00F176E9" w:rsidRDefault="00F176E9" w:rsidP="00E95A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614FD" w14:textId="7A3969B8" w:rsidR="00E95A51" w:rsidRDefault="00E95A51">
    <w:pPr>
      <w:pStyle w:val="Header"/>
    </w:pPr>
    <w:r w:rsidRPr="00D248DE">
      <w:rPr>
        <w:noProof/>
        <w:lang w:eastAsia="en-GB"/>
      </w:rPr>
      <w:drawing>
        <wp:inline distT="0" distB="0" distL="0" distR="0" wp14:anchorId="0799BE0B" wp14:editId="301C6BC3">
          <wp:extent cx="1501140" cy="624840"/>
          <wp:effectExtent l="0" t="0" r="3810" b="3810"/>
          <wp:docPr id="2" name="Picture 2"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1140" cy="6248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27239"/>
    <w:multiLevelType w:val="hybridMultilevel"/>
    <w:tmpl w:val="953A5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193B40"/>
    <w:multiLevelType w:val="hybridMultilevel"/>
    <w:tmpl w:val="A62A0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95511E"/>
    <w:multiLevelType w:val="multilevel"/>
    <w:tmpl w:val="5D447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EE5E07"/>
    <w:multiLevelType w:val="hybridMultilevel"/>
    <w:tmpl w:val="4064B634"/>
    <w:lvl w:ilvl="0" w:tplc="FFFFFFFF">
      <w:start w:val="1"/>
      <w:numFmt w:val="bullet"/>
      <w:lvlText w:val=""/>
      <w:lvlJc w:val="left"/>
      <w:pPr>
        <w:ind w:left="720" w:hanging="360"/>
      </w:pPr>
      <w:rPr>
        <w:rFonts w:ascii="Symbol" w:hAnsi="Symbol" w:hint="default"/>
      </w:rPr>
    </w:lvl>
    <w:lvl w:ilvl="1" w:tplc="2A9AE09A">
      <w:start w:val="1"/>
      <w:numFmt w:val="bullet"/>
      <w:lvlText w:val="o"/>
      <w:lvlJc w:val="left"/>
      <w:pPr>
        <w:ind w:left="1440" w:hanging="360"/>
      </w:pPr>
      <w:rPr>
        <w:rFonts w:ascii="Courier New" w:hAnsi="Courier New" w:hint="default"/>
      </w:rPr>
    </w:lvl>
    <w:lvl w:ilvl="2" w:tplc="323EFF24">
      <w:start w:val="1"/>
      <w:numFmt w:val="bullet"/>
      <w:lvlText w:val=""/>
      <w:lvlJc w:val="left"/>
      <w:pPr>
        <w:ind w:left="2160" w:hanging="360"/>
      </w:pPr>
      <w:rPr>
        <w:rFonts w:ascii="Wingdings" w:hAnsi="Wingdings" w:hint="default"/>
      </w:rPr>
    </w:lvl>
    <w:lvl w:ilvl="3" w:tplc="8F8EE110">
      <w:start w:val="1"/>
      <w:numFmt w:val="bullet"/>
      <w:lvlText w:val=""/>
      <w:lvlJc w:val="left"/>
      <w:pPr>
        <w:ind w:left="2880" w:hanging="360"/>
      </w:pPr>
      <w:rPr>
        <w:rFonts w:ascii="Symbol" w:hAnsi="Symbol" w:hint="default"/>
      </w:rPr>
    </w:lvl>
    <w:lvl w:ilvl="4" w:tplc="B84A5E92">
      <w:start w:val="1"/>
      <w:numFmt w:val="bullet"/>
      <w:lvlText w:val="o"/>
      <w:lvlJc w:val="left"/>
      <w:pPr>
        <w:ind w:left="3600" w:hanging="360"/>
      </w:pPr>
      <w:rPr>
        <w:rFonts w:ascii="Courier New" w:hAnsi="Courier New" w:hint="default"/>
      </w:rPr>
    </w:lvl>
    <w:lvl w:ilvl="5" w:tplc="8940E5E8">
      <w:start w:val="1"/>
      <w:numFmt w:val="bullet"/>
      <w:lvlText w:val=""/>
      <w:lvlJc w:val="left"/>
      <w:pPr>
        <w:ind w:left="4320" w:hanging="360"/>
      </w:pPr>
      <w:rPr>
        <w:rFonts w:ascii="Wingdings" w:hAnsi="Wingdings" w:hint="default"/>
      </w:rPr>
    </w:lvl>
    <w:lvl w:ilvl="6" w:tplc="88582E18">
      <w:start w:val="1"/>
      <w:numFmt w:val="bullet"/>
      <w:lvlText w:val=""/>
      <w:lvlJc w:val="left"/>
      <w:pPr>
        <w:ind w:left="5040" w:hanging="360"/>
      </w:pPr>
      <w:rPr>
        <w:rFonts w:ascii="Symbol" w:hAnsi="Symbol" w:hint="default"/>
      </w:rPr>
    </w:lvl>
    <w:lvl w:ilvl="7" w:tplc="BB3ECA28">
      <w:start w:val="1"/>
      <w:numFmt w:val="bullet"/>
      <w:lvlText w:val="o"/>
      <w:lvlJc w:val="left"/>
      <w:pPr>
        <w:ind w:left="5760" w:hanging="360"/>
      </w:pPr>
      <w:rPr>
        <w:rFonts w:ascii="Courier New" w:hAnsi="Courier New" w:hint="default"/>
      </w:rPr>
    </w:lvl>
    <w:lvl w:ilvl="8" w:tplc="DD0C93F6">
      <w:start w:val="1"/>
      <w:numFmt w:val="bullet"/>
      <w:lvlText w:val=""/>
      <w:lvlJc w:val="left"/>
      <w:pPr>
        <w:ind w:left="6480" w:hanging="360"/>
      </w:pPr>
      <w:rPr>
        <w:rFonts w:ascii="Wingdings" w:hAnsi="Wingdings" w:hint="default"/>
      </w:rPr>
    </w:lvl>
  </w:abstractNum>
  <w:abstractNum w:abstractNumId="4" w15:restartNumberingAfterBreak="0">
    <w:nsid w:val="3E713771"/>
    <w:multiLevelType w:val="hybridMultilevel"/>
    <w:tmpl w:val="AFE8F494"/>
    <w:lvl w:ilvl="0" w:tplc="9AE6002C">
      <w:start w:val="1"/>
      <w:numFmt w:val="bullet"/>
      <w:lvlText w:val=""/>
      <w:lvlJc w:val="left"/>
      <w:pPr>
        <w:ind w:left="720" w:hanging="360"/>
      </w:pPr>
      <w:rPr>
        <w:rFonts w:ascii="Symbol" w:hAnsi="Symbol" w:hint="default"/>
      </w:rPr>
    </w:lvl>
    <w:lvl w:ilvl="1" w:tplc="17BE1E0E">
      <w:start w:val="1"/>
      <w:numFmt w:val="bullet"/>
      <w:lvlText w:val="o"/>
      <w:lvlJc w:val="left"/>
      <w:pPr>
        <w:ind w:left="1440" w:hanging="360"/>
      </w:pPr>
      <w:rPr>
        <w:rFonts w:ascii="Courier New" w:hAnsi="Courier New" w:hint="default"/>
      </w:rPr>
    </w:lvl>
    <w:lvl w:ilvl="2" w:tplc="5078915A">
      <w:start w:val="1"/>
      <w:numFmt w:val="bullet"/>
      <w:lvlText w:val=""/>
      <w:lvlJc w:val="left"/>
      <w:pPr>
        <w:ind w:left="2160" w:hanging="360"/>
      </w:pPr>
      <w:rPr>
        <w:rFonts w:ascii="Wingdings" w:hAnsi="Wingdings" w:hint="default"/>
      </w:rPr>
    </w:lvl>
    <w:lvl w:ilvl="3" w:tplc="BED8ECA8">
      <w:start w:val="1"/>
      <w:numFmt w:val="bullet"/>
      <w:lvlText w:val=""/>
      <w:lvlJc w:val="left"/>
      <w:pPr>
        <w:ind w:left="2880" w:hanging="360"/>
      </w:pPr>
      <w:rPr>
        <w:rFonts w:ascii="Symbol" w:hAnsi="Symbol" w:hint="default"/>
      </w:rPr>
    </w:lvl>
    <w:lvl w:ilvl="4" w:tplc="A02E951C">
      <w:start w:val="1"/>
      <w:numFmt w:val="bullet"/>
      <w:lvlText w:val="o"/>
      <w:lvlJc w:val="left"/>
      <w:pPr>
        <w:ind w:left="3600" w:hanging="360"/>
      </w:pPr>
      <w:rPr>
        <w:rFonts w:ascii="Courier New" w:hAnsi="Courier New" w:hint="default"/>
      </w:rPr>
    </w:lvl>
    <w:lvl w:ilvl="5" w:tplc="C03C595C">
      <w:start w:val="1"/>
      <w:numFmt w:val="bullet"/>
      <w:lvlText w:val=""/>
      <w:lvlJc w:val="left"/>
      <w:pPr>
        <w:ind w:left="4320" w:hanging="360"/>
      </w:pPr>
      <w:rPr>
        <w:rFonts w:ascii="Wingdings" w:hAnsi="Wingdings" w:hint="default"/>
      </w:rPr>
    </w:lvl>
    <w:lvl w:ilvl="6" w:tplc="80E4232E">
      <w:start w:val="1"/>
      <w:numFmt w:val="bullet"/>
      <w:lvlText w:val=""/>
      <w:lvlJc w:val="left"/>
      <w:pPr>
        <w:ind w:left="5040" w:hanging="360"/>
      </w:pPr>
      <w:rPr>
        <w:rFonts w:ascii="Symbol" w:hAnsi="Symbol" w:hint="default"/>
      </w:rPr>
    </w:lvl>
    <w:lvl w:ilvl="7" w:tplc="FD8A4ECC">
      <w:start w:val="1"/>
      <w:numFmt w:val="bullet"/>
      <w:lvlText w:val="o"/>
      <w:lvlJc w:val="left"/>
      <w:pPr>
        <w:ind w:left="5760" w:hanging="360"/>
      </w:pPr>
      <w:rPr>
        <w:rFonts w:ascii="Courier New" w:hAnsi="Courier New" w:hint="default"/>
      </w:rPr>
    </w:lvl>
    <w:lvl w:ilvl="8" w:tplc="3F0076A0">
      <w:start w:val="1"/>
      <w:numFmt w:val="bullet"/>
      <w:lvlText w:val=""/>
      <w:lvlJc w:val="left"/>
      <w:pPr>
        <w:ind w:left="6480" w:hanging="360"/>
      </w:pPr>
      <w:rPr>
        <w:rFonts w:ascii="Wingdings" w:hAnsi="Wingdings" w:hint="default"/>
      </w:rPr>
    </w:lvl>
  </w:abstractNum>
  <w:abstractNum w:abstractNumId="5" w15:restartNumberingAfterBreak="0">
    <w:nsid w:val="4CC9054A"/>
    <w:multiLevelType w:val="hybridMultilevel"/>
    <w:tmpl w:val="439C3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056F4C"/>
    <w:multiLevelType w:val="hybridMultilevel"/>
    <w:tmpl w:val="F2F40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D57BB5"/>
    <w:multiLevelType w:val="hybridMultilevel"/>
    <w:tmpl w:val="491E7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4523683">
    <w:abstractNumId w:val="4"/>
  </w:num>
  <w:num w:numId="2" w16cid:durableId="1012950898">
    <w:abstractNumId w:val="3"/>
  </w:num>
  <w:num w:numId="3" w16cid:durableId="1598519819">
    <w:abstractNumId w:val="7"/>
  </w:num>
  <w:num w:numId="4" w16cid:durableId="745804251">
    <w:abstractNumId w:val="2"/>
  </w:num>
  <w:num w:numId="5" w16cid:durableId="2077438021">
    <w:abstractNumId w:val="0"/>
  </w:num>
  <w:num w:numId="6" w16cid:durableId="958103170">
    <w:abstractNumId w:val="1"/>
  </w:num>
  <w:num w:numId="7" w16cid:durableId="1201240851">
    <w:abstractNumId w:val="5"/>
  </w:num>
  <w:num w:numId="8" w16cid:durableId="8965554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129"/>
    <w:rsid w:val="000056A0"/>
    <w:rsid w:val="00072684"/>
    <w:rsid w:val="00151872"/>
    <w:rsid w:val="00197D95"/>
    <w:rsid w:val="001C3700"/>
    <w:rsid w:val="00252E55"/>
    <w:rsid w:val="002A2184"/>
    <w:rsid w:val="002C6438"/>
    <w:rsid w:val="00350E9A"/>
    <w:rsid w:val="003C1E50"/>
    <w:rsid w:val="00414A8E"/>
    <w:rsid w:val="00425129"/>
    <w:rsid w:val="00536FD8"/>
    <w:rsid w:val="006222FC"/>
    <w:rsid w:val="0065432C"/>
    <w:rsid w:val="00697556"/>
    <w:rsid w:val="007154CD"/>
    <w:rsid w:val="007964B1"/>
    <w:rsid w:val="007B14DA"/>
    <w:rsid w:val="007C619E"/>
    <w:rsid w:val="00803727"/>
    <w:rsid w:val="008F04D2"/>
    <w:rsid w:val="00946FE1"/>
    <w:rsid w:val="0095199F"/>
    <w:rsid w:val="009D6E8E"/>
    <w:rsid w:val="00A13FEC"/>
    <w:rsid w:val="00A61506"/>
    <w:rsid w:val="00C77341"/>
    <w:rsid w:val="00D46EF7"/>
    <w:rsid w:val="00D6483B"/>
    <w:rsid w:val="00DA26AF"/>
    <w:rsid w:val="00DB7BFE"/>
    <w:rsid w:val="00E01CD2"/>
    <w:rsid w:val="00E34BCC"/>
    <w:rsid w:val="00E720E6"/>
    <w:rsid w:val="00E95A51"/>
    <w:rsid w:val="00EE5387"/>
    <w:rsid w:val="00EF5FCC"/>
    <w:rsid w:val="00F176E9"/>
    <w:rsid w:val="00F33E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3F431"/>
  <w15:chartTrackingRefBased/>
  <w15:docId w15:val="{DB2652CD-25D4-47CF-AC2D-9D6C0144B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1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51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5129"/>
    <w:pPr>
      <w:ind w:left="720"/>
      <w:contextualSpacing/>
    </w:pPr>
  </w:style>
  <w:style w:type="character" w:styleId="Hyperlink">
    <w:name w:val="Hyperlink"/>
    <w:basedOn w:val="DefaultParagraphFont"/>
    <w:uiPriority w:val="99"/>
    <w:unhideWhenUsed/>
    <w:rsid w:val="00151872"/>
    <w:rPr>
      <w:color w:val="0000FF"/>
      <w:u w:val="single"/>
    </w:rPr>
  </w:style>
  <w:style w:type="character" w:styleId="UnresolvedMention">
    <w:name w:val="Unresolved Mention"/>
    <w:basedOn w:val="DefaultParagraphFont"/>
    <w:uiPriority w:val="99"/>
    <w:semiHidden/>
    <w:unhideWhenUsed/>
    <w:rsid w:val="009D6E8E"/>
    <w:rPr>
      <w:color w:val="605E5C"/>
      <w:shd w:val="clear" w:color="auto" w:fill="E1DFDD"/>
    </w:rPr>
  </w:style>
  <w:style w:type="character" w:styleId="FollowedHyperlink">
    <w:name w:val="FollowedHyperlink"/>
    <w:basedOn w:val="DefaultParagraphFont"/>
    <w:uiPriority w:val="99"/>
    <w:semiHidden/>
    <w:unhideWhenUsed/>
    <w:rsid w:val="009D6E8E"/>
    <w:rPr>
      <w:color w:val="800080" w:themeColor="followedHyperlink"/>
      <w:u w:val="single"/>
    </w:rPr>
  </w:style>
  <w:style w:type="paragraph" w:styleId="Header">
    <w:name w:val="header"/>
    <w:basedOn w:val="Normal"/>
    <w:link w:val="HeaderChar"/>
    <w:uiPriority w:val="99"/>
    <w:unhideWhenUsed/>
    <w:rsid w:val="00E95A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5A51"/>
  </w:style>
  <w:style w:type="paragraph" w:styleId="Footer">
    <w:name w:val="footer"/>
    <w:basedOn w:val="Normal"/>
    <w:link w:val="FooterChar"/>
    <w:uiPriority w:val="99"/>
    <w:unhideWhenUsed/>
    <w:rsid w:val="00E95A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5A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ssex.ac.uk/staff/research-governance/ethical-approval-resources-for-applicants" TargetMode="External"/><Relationship Id="rId5" Type="http://schemas.openxmlformats.org/officeDocument/2006/relationships/styles" Target="styles.xml"/><Relationship Id="rId10" Type="http://schemas.openxmlformats.org/officeDocument/2006/relationships/hyperlink" Target="mailto:policy-engagement@essex.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6B5DC1E6C8524FBA2CE2ACFEF2AF73" ma:contentTypeVersion="9" ma:contentTypeDescription="Create a new document." ma:contentTypeScope="" ma:versionID="8dd99291831725796203e381d42e7636">
  <xsd:schema xmlns:xsd="http://www.w3.org/2001/XMLSchema" xmlns:xs="http://www.w3.org/2001/XMLSchema" xmlns:p="http://schemas.microsoft.com/office/2006/metadata/properties" xmlns:ns3="7e48d907-7c38-4d29-8d65-378ec362e06a" xmlns:ns4="4eae01ff-1558-4529-a3d1-81c708a2dc56" targetNamespace="http://schemas.microsoft.com/office/2006/metadata/properties" ma:root="true" ma:fieldsID="3cad621d6d01e16196fd753b3a882356" ns3:_="" ns4:_="">
    <xsd:import namespace="7e48d907-7c38-4d29-8d65-378ec362e06a"/>
    <xsd:import namespace="4eae01ff-1558-4529-a3d1-81c708a2dc5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48d907-7c38-4d29-8d65-378ec362e06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ae01ff-1558-4529-a3d1-81c708a2dc5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592037-5F4F-4885-954F-67B8CC8D6E2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F429EF-4A7C-4124-8626-1BAFF13A587F}">
  <ds:schemaRefs>
    <ds:schemaRef ds:uri="http://schemas.microsoft.com/sharepoint/v3/contenttype/forms"/>
  </ds:schemaRefs>
</ds:datastoreItem>
</file>

<file path=customXml/itemProps3.xml><?xml version="1.0" encoding="utf-8"?>
<ds:datastoreItem xmlns:ds="http://schemas.openxmlformats.org/officeDocument/2006/customXml" ds:itemID="{BEEA2FDA-1235-4432-BF3D-9C5A639F7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48d907-7c38-4d29-8d65-378ec362e06a"/>
    <ds:schemaRef ds:uri="4eae01ff-1558-4529-a3d1-81c708a2dc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737</Words>
  <Characters>4205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Wilkinson, Beverley</dc:creator>
  <cp:keywords/>
  <dc:description/>
  <cp:lastModifiedBy>Wilkinson, Beverley</cp:lastModifiedBy>
  <cp:revision>13</cp:revision>
  <dcterms:created xsi:type="dcterms:W3CDTF">2022-10-14T11:30:00Z</dcterms:created>
  <dcterms:modified xsi:type="dcterms:W3CDTF">2022-10-20T09:43:00Z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0x010100F76B5DC1E6C8524FBA2CE2ACFEF2AF73</vt:lpwstr>
  </property>
</Properties>
</file>