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5BE" w:rsidRPr="000F25BE" w:rsidRDefault="000F25BE" w:rsidP="000F25BE">
      <w:pPr>
        <w:spacing w:before="100" w:beforeAutospacing="1" w:after="100" w:afterAutospacing="1" w:line="240" w:lineRule="auto"/>
        <w:outlineLvl w:val="0"/>
        <w:rPr>
          <w:rFonts w:ascii="Akzidenz Medium" w:eastAsia="Times New Roman" w:hAnsi="Akzidenz Medium" w:cs="Times New Roman"/>
          <w:color w:val="2A2929"/>
          <w:kern w:val="36"/>
          <w:sz w:val="48"/>
          <w:szCs w:val="48"/>
        </w:rPr>
      </w:pPr>
      <w:r w:rsidRPr="000F25BE">
        <w:rPr>
          <w:rFonts w:ascii="Akzidenz Medium" w:eastAsia="Times New Roman" w:hAnsi="Akzidenz Medium" w:cs="Times New Roman"/>
          <w:color w:val="2A2929"/>
          <w:kern w:val="36"/>
          <w:sz w:val="48"/>
          <w:szCs w:val="48"/>
        </w:rPr>
        <w:t>Records Management Policy Statement</w:t>
      </w:r>
    </w:p>
    <w:p w:rsidR="000F25BE" w:rsidRPr="000F25BE" w:rsidRDefault="000F25BE" w:rsidP="000F25BE">
      <w:pPr>
        <w:spacing w:before="100" w:beforeAutospacing="1" w:after="100" w:afterAutospacing="1" w:line="240" w:lineRule="auto"/>
        <w:rPr>
          <w:rFonts w:ascii="Arial" w:eastAsia="Times New Roman" w:hAnsi="Arial" w:cs="Arial"/>
          <w:color w:val="444444"/>
        </w:rPr>
      </w:pPr>
      <w:r w:rsidRPr="000F25BE">
        <w:rPr>
          <w:rFonts w:ascii="Arial" w:eastAsia="Times New Roman" w:hAnsi="Arial" w:cs="Arial"/>
          <w:color w:val="444444"/>
        </w:rPr>
        <w:t>Autumn 2005</w:t>
      </w:r>
    </w:p>
    <w:p w:rsidR="000F25BE" w:rsidRPr="000F25BE" w:rsidRDefault="000F25BE" w:rsidP="000F25BE">
      <w:pPr>
        <w:numPr>
          <w:ilvl w:val="0"/>
          <w:numId w:val="1"/>
        </w:numPr>
        <w:spacing w:before="100" w:beforeAutospacing="1" w:after="100" w:afterAutospacing="1" w:line="240" w:lineRule="auto"/>
        <w:ind w:left="300"/>
        <w:rPr>
          <w:rFonts w:ascii="Arial" w:eastAsia="Times New Roman" w:hAnsi="Arial" w:cs="Arial"/>
          <w:color w:val="444444"/>
        </w:rPr>
      </w:pPr>
      <w:hyperlink r:id="rId6" w:anchor="1" w:history="1">
        <w:r w:rsidRPr="000F25BE">
          <w:rPr>
            <w:rFonts w:ascii="Arial" w:eastAsia="Times New Roman" w:hAnsi="Arial" w:cs="Arial"/>
            <w:color w:val="444444"/>
            <w:u w:val="single"/>
          </w:rPr>
          <w:t>Policy Overview and Scope</w:t>
        </w:r>
      </w:hyperlink>
    </w:p>
    <w:p w:rsidR="000F25BE" w:rsidRPr="000F25BE" w:rsidRDefault="000F25BE" w:rsidP="000F25BE">
      <w:pPr>
        <w:numPr>
          <w:ilvl w:val="0"/>
          <w:numId w:val="1"/>
        </w:numPr>
        <w:spacing w:before="100" w:beforeAutospacing="1" w:after="100" w:afterAutospacing="1" w:line="240" w:lineRule="auto"/>
        <w:ind w:left="300"/>
        <w:rPr>
          <w:rFonts w:ascii="Arial" w:eastAsia="Times New Roman" w:hAnsi="Arial" w:cs="Arial"/>
          <w:color w:val="444444"/>
        </w:rPr>
      </w:pPr>
      <w:hyperlink r:id="rId7" w:anchor="2" w:history="1">
        <w:r w:rsidRPr="000F25BE">
          <w:rPr>
            <w:rFonts w:ascii="Arial" w:eastAsia="Times New Roman" w:hAnsi="Arial" w:cs="Arial"/>
            <w:color w:val="444444"/>
            <w:u w:val="single"/>
          </w:rPr>
          <w:t>Policy Aims</w:t>
        </w:r>
      </w:hyperlink>
    </w:p>
    <w:p w:rsidR="000F25BE" w:rsidRPr="000F25BE" w:rsidRDefault="000F25BE" w:rsidP="000F25BE">
      <w:pPr>
        <w:numPr>
          <w:ilvl w:val="0"/>
          <w:numId w:val="1"/>
        </w:numPr>
        <w:spacing w:before="100" w:beforeAutospacing="1" w:after="100" w:afterAutospacing="1" w:line="240" w:lineRule="auto"/>
        <w:ind w:left="300"/>
        <w:rPr>
          <w:rFonts w:ascii="Arial" w:eastAsia="Times New Roman" w:hAnsi="Arial" w:cs="Arial"/>
          <w:color w:val="444444"/>
        </w:rPr>
      </w:pPr>
      <w:hyperlink r:id="rId8" w:anchor="3" w:history="1">
        <w:r w:rsidRPr="000F25BE">
          <w:rPr>
            <w:rFonts w:ascii="Arial" w:eastAsia="Times New Roman" w:hAnsi="Arial" w:cs="Arial"/>
            <w:color w:val="444444"/>
            <w:u w:val="single"/>
          </w:rPr>
          <w:t>Responsibility for Records Management</w:t>
        </w:r>
      </w:hyperlink>
    </w:p>
    <w:p w:rsidR="000F25BE" w:rsidRPr="000F25BE" w:rsidRDefault="000F25BE" w:rsidP="000F25BE">
      <w:pPr>
        <w:numPr>
          <w:ilvl w:val="0"/>
          <w:numId w:val="1"/>
        </w:numPr>
        <w:spacing w:before="100" w:beforeAutospacing="1" w:after="100" w:afterAutospacing="1" w:line="240" w:lineRule="auto"/>
        <w:ind w:left="300"/>
        <w:rPr>
          <w:rFonts w:ascii="Arial" w:eastAsia="Times New Roman" w:hAnsi="Arial" w:cs="Arial"/>
          <w:color w:val="444444"/>
        </w:rPr>
      </w:pPr>
      <w:hyperlink r:id="rId9" w:anchor="4" w:history="1">
        <w:r w:rsidRPr="000F25BE">
          <w:rPr>
            <w:rFonts w:ascii="Arial" w:eastAsia="Times New Roman" w:hAnsi="Arial" w:cs="Arial"/>
            <w:color w:val="444444"/>
            <w:u w:val="single"/>
          </w:rPr>
          <w:t>Records Management Framework and Implementation</w:t>
        </w:r>
      </w:hyperlink>
    </w:p>
    <w:p w:rsidR="000F25BE" w:rsidRPr="000F25BE" w:rsidRDefault="000F25BE" w:rsidP="000F25BE">
      <w:pPr>
        <w:numPr>
          <w:ilvl w:val="0"/>
          <w:numId w:val="1"/>
        </w:numPr>
        <w:spacing w:before="100" w:beforeAutospacing="1" w:after="100" w:afterAutospacing="1" w:line="240" w:lineRule="auto"/>
        <w:ind w:left="300"/>
        <w:rPr>
          <w:rFonts w:ascii="Arial" w:eastAsia="Times New Roman" w:hAnsi="Arial" w:cs="Arial"/>
          <w:color w:val="444444"/>
        </w:rPr>
      </w:pPr>
      <w:hyperlink r:id="rId10" w:anchor="5" w:history="1">
        <w:r w:rsidRPr="000F25BE">
          <w:rPr>
            <w:rFonts w:ascii="Arial" w:eastAsia="Times New Roman" w:hAnsi="Arial" w:cs="Arial"/>
            <w:color w:val="444444"/>
            <w:u w:val="single"/>
          </w:rPr>
          <w:t>Staff Training and Development</w:t>
        </w:r>
      </w:hyperlink>
    </w:p>
    <w:p w:rsidR="000F25BE" w:rsidRPr="000F25BE" w:rsidRDefault="000F25BE" w:rsidP="000F25BE">
      <w:pPr>
        <w:numPr>
          <w:ilvl w:val="0"/>
          <w:numId w:val="1"/>
        </w:numPr>
        <w:spacing w:before="100" w:beforeAutospacing="1" w:after="100" w:afterAutospacing="1" w:line="240" w:lineRule="auto"/>
        <w:ind w:left="300"/>
        <w:rPr>
          <w:rFonts w:ascii="Arial" w:eastAsia="Times New Roman" w:hAnsi="Arial" w:cs="Arial"/>
          <w:color w:val="444444"/>
        </w:rPr>
      </w:pPr>
      <w:hyperlink r:id="rId11" w:anchor="6" w:history="1">
        <w:r w:rsidRPr="000F25BE">
          <w:rPr>
            <w:rFonts w:ascii="Arial" w:eastAsia="Times New Roman" w:hAnsi="Arial" w:cs="Arial"/>
            <w:color w:val="444444"/>
            <w:u w:val="single"/>
          </w:rPr>
          <w:t>Policy Review and Audit</w:t>
        </w:r>
      </w:hyperlink>
    </w:p>
    <w:p w:rsidR="000F25BE" w:rsidRPr="000F25BE" w:rsidRDefault="000F25BE" w:rsidP="000F25BE">
      <w:pPr>
        <w:numPr>
          <w:ilvl w:val="0"/>
          <w:numId w:val="1"/>
        </w:numPr>
        <w:spacing w:before="100" w:beforeAutospacing="1" w:after="100" w:afterAutospacing="1" w:line="240" w:lineRule="auto"/>
        <w:ind w:left="300"/>
        <w:rPr>
          <w:rFonts w:ascii="Arial" w:eastAsia="Times New Roman" w:hAnsi="Arial" w:cs="Arial"/>
          <w:color w:val="444444"/>
        </w:rPr>
      </w:pPr>
      <w:hyperlink r:id="rId12" w:anchor="7" w:history="1">
        <w:r w:rsidRPr="000F25BE">
          <w:rPr>
            <w:rFonts w:ascii="Arial" w:eastAsia="Times New Roman" w:hAnsi="Arial" w:cs="Arial"/>
            <w:color w:val="444444"/>
            <w:u w:val="single"/>
          </w:rPr>
          <w:t>Contact Information</w:t>
        </w:r>
      </w:hyperlink>
      <w:r w:rsidRPr="000F25BE">
        <w:rPr>
          <w:rFonts w:ascii="Arial" w:eastAsia="Times New Roman" w:hAnsi="Arial" w:cs="Arial"/>
          <w:color w:val="444444"/>
        </w:rPr>
        <w:t> </w:t>
      </w:r>
    </w:p>
    <w:p w:rsidR="000F25BE" w:rsidRPr="000F25BE" w:rsidRDefault="000F25BE" w:rsidP="000F25BE">
      <w:pPr>
        <w:numPr>
          <w:ilvl w:val="0"/>
          <w:numId w:val="2"/>
        </w:numPr>
        <w:spacing w:before="100" w:beforeAutospacing="1" w:after="100" w:afterAutospacing="1" w:line="240" w:lineRule="auto"/>
        <w:ind w:left="300"/>
        <w:outlineLvl w:val="1"/>
        <w:rPr>
          <w:rFonts w:ascii="Akzidenz Medium" w:eastAsia="Times New Roman" w:hAnsi="Akzidenz Medium" w:cs="Arial"/>
          <w:color w:val="7E2E6A"/>
          <w:sz w:val="32"/>
          <w:szCs w:val="32"/>
        </w:rPr>
      </w:pPr>
      <w:bookmarkStart w:id="0" w:name="1"/>
      <w:bookmarkEnd w:id="0"/>
      <w:r w:rsidRPr="000F25BE">
        <w:rPr>
          <w:rFonts w:ascii="Akzidenz Medium" w:eastAsia="Times New Roman" w:hAnsi="Akzidenz Medium" w:cs="Arial"/>
          <w:color w:val="7E2E6A"/>
          <w:sz w:val="32"/>
          <w:szCs w:val="32"/>
        </w:rPr>
        <w:t>Policy Overview and Scope</w:t>
      </w:r>
    </w:p>
    <w:p w:rsidR="000F25BE" w:rsidRPr="000F25BE" w:rsidRDefault="000F25BE" w:rsidP="000F25BE">
      <w:pPr>
        <w:numPr>
          <w:ilvl w:val="0"/>
          <w:numId w:val="3"/>
        </w:numPr>
        <w:shd w:val="clear" w:color="auto" w:fill="F6F6F6"/>
        <w:spacing w:before="100" w:beforeAutospacing="1" w:after="100" w:afterAutospacing="1" w:line="240" w:lineRule="auto"/>
        <w:ind w:left="300"/>
        <w:rPr>
          <w:rFonts w:ascii="Arial" w:eastAsia="Times New Roman" w:hAnsi="Arial" w:cs="Arial"/>
          <w:color w:val="444444"/>
        </w:rPr>
      </w:pPr>
      <w:r w:rsidRPr="000F25BE">
        <w:rPr>
          <w:rFonts w:ascii="Arial" w:eastAsia="Times New Roman" w:hAnsi="Arial" w:cs="Arial"/>
          <w:color w:val="444444"/>
        </w:rPr>
        <w:t>The University of Essex is committed to creating, managing and disposing of its academic and non-academic records effectively in order to document its operations efficiently and openly, as well as help to meet its accountability requirements and community expectations.</w:t>
      </w:r>
    </w:p>
    <w:p w:rsidR="000F25BE" w:rsidRPr="000F25BE" w:rsidRDefault="000F25BE" w:rsidP="000F25BE">
      <w:pPr>
        <w:numPr>
          <w:ilvl w:val="0"/>
          <w:numId w:val="3"/>
        </w:numPr>
        <w:shd w:val="clear" w:color="auto" w:fill="F6F6F6"/>
        <w:spacing w:before="100" w:beforeAutospacing="1" w:after="100" w:afterAutospacing="1" w:line="240" w:lineRule="auto"/>
        <w:ind w:left="300"/>
        <w:rPr>
          <w:rFonts w:ascii="Arial" w:eastAsia="Times New Roman" w:hAnsi="Arial" w:cs="Arial"/>
          <w:color w:val="444444"/>
        </w:rPr>
      </w:pPr>
      <w:hyperlink r:id="rId13" w:history="1">
        <w:r w:rsidRPr="000F25BE">
          <w:rPr>
            <w:rFonts w:ascii="Arial" w:eastAsia="Times New Roman" w:hAnsi="Arial" w:cs="Arial"/>
            <w:color w:val="444444"/>
            <w:u w:val="single"/>
          </w:rPr>
          <w:t>The University's record management policies, accompanying procedures, retention schedules, and good practice guidance [“the policies”]</w:t>
        </w:r>
      </w:hyperlink>
      <w:r w:rsidRPr="000F25BE">
        <w:rPr>
          <w:rFonts w:ascii="Arial" w:eastAsia="Times New Roman" w:hAnsi="Arial" w:cs="Arial"/>
          <w:color w:val="444444"/>
        </w:rPr>
        <w:t> bring central focus to the institution's approach towards the creation, filing, retrieval and disposal of its records. The policies are built on the premise that effective creation, control and disposal of records brings administrative and financial benefits to the University, while promoting good practice in complying with legal obligations, particularly those established by Data Protection and Freedom of Information legislation.</w:t>
      </w:r>
    </w:p>
    <w:p w:rsidR="000F25BE" w:rsidRPr="000F25BE" w:rsidRDefault="000F25BE" w:rsidP="000F25BE">
      <w:pPr>
        <w:numPr>
          <w:ilvl w:val="0"/>
          <w:numId w:val="3"/>
        </w:numPr>
        <w:shd w:val="clear" w:color="auto" w:fill="F6F6F6"/>
        <w:spacing w:before="100" w:beforeAutospacing="1" w:after="100" w:afterAutospacing="1" w:line="240" w:lineRule="auto"/>
        <w:ind w:left="300"/>
        <w:rPr>
          <w:rFonts w:ascii="Arial" w:eastAsia="Times New Roman" w:hAnsi="Arial" w:cs="Arial"/>
          <w:color w:val="444444"/>
        </w:rPr>
      </w:pPr>
      <w:r w:rsidRPr="000F25BE">
        <w:rPr>
          <w:rFonts w:ascii="Arial" w:eastAsia="Times New Roman" w:hAnsi="Arial" w:cs="Arial"/>
          <w:color w:val="444444"/>
        </w:rPr>
        <w:t>The policies are formulated in accordance with the Code of Practice on the Management of Records, which is published under section 46 of the Freedom of Information Act 2000, the University's Data Protection and Freedom of Information Policies, and the University's Information Systems Strategy, and take account of work carried out in this area across the Higher Education sector.</w:t>
      </w:r>
    </w:p>
    <w:p w:rsidR="000F25BE" w:rsidRPr="000F25BE" w:rsidRDefault="000F25BE" w:rsidP="000F25BE">
      <w:pPr>
        <w:numPr>
          <w:ilvl w:val="0"/>
          <w:numId w:val="3"/>
        </w:numPr>
        <w:shd w:val="clear" w:color="auto" w:fill="F6F6F6"/>
        <w:spacing w:before="100" w:beforeAutospacing="1" w:after="100" w:afterAutospacing="1" w:line="240" w:lineRule="auto"/>
        <w:ind w:left="300"/>
        <w:rPr>
          <w:rFonts w:ascii="Arial" w:eastAsia="Times New Roman" w:hAnsi="Arial" w:cs="Arial"/>
          <w:color w:val="444444"/>
        </w:rPr>
      </w:pPr>
      <w:r w:rsidRPr="000F25BE">
        <w:rPr>
          <w:rFonts w:ascii="Arial" w:eastAsia="Times New Roman" w:hAnsi="Arial" w:cs="Arial"/>
          <w:color w:val="444444"/>
        </w:rPr>
        <w:t>The policies are based on the understanding that all University employees are responsible for creating and maintaining authentic and reliable records in relation to their work.</w:t>
      </w:r>
    </w:p>
    <w:p w:rsidR="000F25BE" w:rsidRPr="000F25BE" w:rsidRDefault="000F25BE" w:rsidP="000F25BE">
      <w:pPr>
        <w:numPr>
          <w:ilvl w:val="0"/>
          <w:numId w:val="3"/>
        </w:numPr>
        <w:shd w:val="clear" w:color="auto" w:fill="F6F6F6"/>
        <w:spacing w:before="100" w:beforeAutospacing="1" w:after="100" w:afterAutospacing="1" w:line="240" w:lineRule="auto"/>
        <w:ind w:left="300"/>
        <w:rPr>
          <w:rFonts w:ascii="Arial" w:eastAsia="Times New Roman" w:hAnsi="Arial" w:cs="Arial"/>
          <w:color w:val="444444"/>
        </w:rPr>
      </w:pPr>
      <w:r w:rsidRPr="000F25BE">
        <w:rPr>
          <w:rFonts w:ascii="Arial" w:eastAsia="Times New Roman" w:hAnsi="Arial" w:cs="Arial"/>
          <w:color w:val="444444"/>
        </w:rPr>
        <w:t>Within the context of this policy statement, “records” refers to all documents created, received or maintained by the University in the course of carrying out its corporate functions. These documents may be held in electronic or hard copy format.</w:t>
      </w:r>
    </w:p>
    <w:p w:rsidR="000F25BE" w:rsidRPr="000F25BE" w:rsidRDefault="000F25BE" w:rsidP="000F25BE">
      <w:pPr>
        <w:numPr>
          <w:ilvl w:val="0"/>
          <w:numId w:val="4"/>
        </w:numPr>
        <w:spacing w:before="100" w:beforeAutospacing="1" w:after="100" w:afterAutospacing="1" w:line="240" w:lineRule="auto"/>
        <w:ind w:left="300"/>
        <w:outlineLvl w:val="1"/>
        <w:rPr>
          <w:rFonts w:ascii="Akzidenz Medium" w:eastAsia="Times New Roman" w:hAnsi="Akzidenz Medium" w:cs="Arial"/>
          <w:color w:val="7E2E6A"/>
          <w:sz w:val="32"/>
          <w:szCs w:val="32"/>
        </w:rPr>
      </w:pPr>
      <w:bookmarkStart w:id="1" w:name="2"/>
      <w:bookmarkEnd w:id="1"/>
      <w:r w:rsidRPr="000F25BE">
        <w:rPr>
          <w:rFonts w:ascii="Akzidenz Medium" w:eastAsia="Times New Roman" w:hAnsi="Akzidenz Medium" w:cs="Arial"/>
          <w:color w:val="7E2E6A"/>
          <w:sz w:val="32"/>
          <w:szCs w:val="32"/>
        </w:rPr>
        <w:t>Policy Aims</w:t>
      </w:r>
    </w:p>
    <w:p w:rsidR="000F25BE" w:rsidRPr="000F25BE" w:rsidRDefault="000F25BE" w:rsidP="000F25BE">
      <w:pPr>
        <w:numPr>
          <w:ilvl w:val="0"/>
          <w:numId w:val="5"/>
        </w:numPr>
        <w:shd w:val="clear" w:color="auto" w:fill="F6F6F6"/>
        <w:spacing w:before="100" w:beforeAutospacing="1" w:after="100" w:afterAutospacing="1" w:line="240" w:lineRule="auto"/>
        <w:rPr>
          <w:rFonts w:ascii="Arial" w:eastAsia="Times New Roman" w:hAnsi="Arial" w:cs="Arial"/>
          <w:color w:val="444444"/>
        </w:rPr>
      </w:pPr>
      <w:r w:rsidRPr="000F25BE">
        <w:rPr>
          <w:rFonts w:ascii="Arial" w:eastAsia="Times New Roman" w:hAnsi="Arial" w:cs="Arial"/>
          <w:color w:val="444444"/>
        </w:rPr>
        <w:t>The policy provides a framework for managing the University's records, and seeks to educate and assist staff across the institution in fulfilling their obligations and responsibilities in the important area of records management. It is built around a number of practical goals:</w:t>
      </w:r>
    </w:p>
    <w:p w:rsidR="000F25BE" w:rsidRPr="000F25BE" w:rsidRDefault="000F25BE" w:rsidP="000F25BE">
      <w:pPr>
        <w:numPr>
          <w:ilvl w:val="1"/>
          <w:numId w:val="6"/>
        </w:numPr>
        <w:shd w:val="clear" w:color="auto" w:fill="F6F6F6"/>
        <w:spacing w:before="100" w:beforeAutospacing="1" w:after="100" w:afterAutospacing="1" w:line="240" w:lineRule="auto"/>
        <w:ind w:left="600"/>
        <w:rPr>
          <w:rFonts w:ascii="Arial" w:eastAsia="Times New Roman" w:hAnsi="Arial" w:cs="Arial"/>
          <w:color w:val="444444"/>
        </w:rPr>
      </w:pPr>
      <w:r w:rsidRPr="000F25BE">
        <w:rPr>
          <w:rFonts w:ascii="Arial" w:eastAsia="Times New Roman" w:hAnsi="Arial" w:cs="Arial"/>
          <w:color w:val="444444"/>
        </w:rPr>
        <w:t>the creation and capturing of authentic and reliable records to demonstrate evidence of accountability and information about the University's decisions and activities; </w:t>
      </w:r>
    </w:p>
    <w:p w:rsidR="000F25BE" w:rsidRPr="000F25BE" w:rsidRDefault="000F25BE" w:rsidP="000F25BE">
      <w:pPr>
        <w:numPr>
          <w:ilvl w:val="1"/>
          <w:numId w:val="7"/>
        </w:numPr>
        <w:shd w:val="clear" w:color="auto" w:fill="F6F6F6"/>
        <w:spacing w:before="100" w:beforeAutospacing="1" w:after="100" w:afterAutospacing="1" w:line="240" w:lineRule="auto"/>
        <w:ind w:left="600"/>
        <w:rPr>
          <w:rFonts w:ascii="Arial" w:eastAsia="Times New Roman" w:hAnsi="Arial" w:cs="Arial"/>
          <w:color w:val="444444"/>
        </w:rPr>
      </w:pPr>
      <w:r w:rsidRPr="000F25BE">
        <w:rPr>
          <w:rFonts w:ascii="Arial" w:eastAsia="Times New Roman" w:hAnsi="Arial" w:cs="Arial"/>
          <w:color w:val="444444"/>
        </w:rPr>
        <w:t>secure maintenance and preservation of access to the records, as long as they are required to support University operations; </w:t>
      </w:r>
    </w:p>
    <w:p w:rsidR="000F25BE" w:rsidRPr="000F25BE" w:rsidRDefault="000F25BE" w:rsidP="000F25BE">
      <w:pPr>
        <w:numPr>
          <w:ilvl w:val="1"/>
          <w:numId w:val="8"/>
        </w:numPr>
        <w:shd w:val="clear" w:color="auto" w:fill="F6F6F6"/>
        <w:spacing w:before="100" w:beforeAutospacing="1" w:after="100" w:afterAutospacing="1" w:line="240" w:lineRule="auto"/>
        <w:ind w:left="600"/>
        <w:rPr>
          <w:rFonts w:ascii="Arial" w:eastAsia="Times New Roman" w:hAnsi="Arial" w:cs="Arial"/>
          <w:color w:val="444444"/>
        </w:rPr>
      </w:pPr>
      <w:r w:rsidRPr="000F25BE">
        <w:rPr>
          <w:rFonts w:ascii="Arial" w:eastAsia="Times New Roman" w:hAnsi="Arial" w:cs="Arial"/>
          <w:color w:val="444444"/>
        </w:rPr>
        <w:t>confidential destruction of records as soon as they are no longer required;</w:t>
      </w:r>
    </w:p>
    <w:p w:rsidR="000F25BE" w:rsidRPr="000F25BE" w:rsidRDefault="000F25BE" w:rsidP="000F25BE">
      <w:pPr>
        <w:numPr>
          <w:ilvl w:val="1"/>
          <w:numId w:val="9"/>
        </w:numPr>
        <w:shd w:val="clear" w:color="auto" w:fill="F6F6F6"/>
        <w:spacing w:before="100" w:beforeAutospacing="1" w:after="100" w:afterAutospacing="1" w:line="240" w:lineRule="auto"/>
        <w:ind w:left="600"/>
        <w:rPr>
          <w:rFonts w:ascii="Arial" w:eastAsia="Times New Roman" w:hAnsi="Arial" w:cs="Arial"/>
          <w:color w:val="444444"/>
        </w:rPr>
      </w:pPr>
      <w:r w:rsidRPr="000F25BE">
        <w:rPr>
          <w:rFonts w:ascii="Arial" w:eastAsia="Times New Roman" w:hAnsi="Arial" w:cs="Arial"/>
          <w:color w:val="444444"/>
        </w:rPr>
        <w:t>adherence to all legal obligations, specifically those established by the Data Protection Act 1998 and the Freedom of Information Act 2000;</w:t>
      </w:r>
    </w:p>
    <w:p w:rsidR="000F25BE" w:rsidRPr="000F25BE" w:rsidRDefault="000F25BE" w:rsidP="000F25BE">
      <w:pPr>
        <w:numPr>
          <w:ilvl w:val="1"/>
          <w:numId w:val="10"/>
        </w:numPr>
        <w:shd w:val="clear" w:color="auto" w:fill="F6F6F6"/>
        <w:spacing w:before="100" w:beforeAutospacing="1" w:after="100" w:afterAutospacing="1" w:line="240" w:lineRule="auto"/>
        <w:ind w:left="600"/>
        <w:rPr>
          <w:rFonts w:ascii="Arial" w:eastAsia="Times New Roman" w:hAnsi="Arial" w:cs="Arial"/>
          <w:color w:val="444444"/>
        </w:rPr>
      </w:pPr>
      <w:r w:rsidRPr="000F25BE">
        <w:rPr>
          <w:rFonts w:ascii="Arial" w:eastAsia="Times New Roman" w:hAnsi="Arial" w:cs="Arial"/>
          <w:color w:val="444444"/>
        </w:rPr>
        <w:t>secure identification and archiving of records considered worthy of permanent preservation; and</w:t>
      </w:r>
    </w:p>
    <w:p w:rsidR="000F25BE" w:rsidRPr="000F25BE" w:rsidRDefault="000F25BE" w:rsidP="000F25BE">
      <w:pPr>
        <w:numPr>
          <w:ilvl w:val="1"/>
          <w:numId w:val="11"/>
        </w:numPr>
        <w:shd w:val="clear" w:color="auto" w:fill="F6F6F6"/>
        <w:spacing w:before="100" w:beforeAutospacing="1" w:after="100" w:afterAutospacing="1" w:line="240" w:lineRule="auto"/>
        <w:ind w:left="600"/>
        <w:rPr>
          <w:rFonts w:ascii="Arial" w:eastAsia="Times New Roman" w:hAnsi="Arial" w:cs="Arial"/>
          <w:color w:val="444444"/>
        </w:rPr>
      </w:pPr>
      <w:r w:rsidRPr="000F25BE">
        <w:rPr>
          <w:rFonts w:ascii="Arial" w:eastAsia="Times New Roman" w:hAnsi="Arial" w:cs="Arial"/>
          <w:color w:val="444444"/>
        </w:rPr>
        <w:t>University-wide staff awareness of all records management and related issues.</w:t>
      </w:r>
    </w:p>
    <w:p w:rsidR="000F25BE" w:rsidRPr="000F25BE" w:rsidRDefault="000F25BE" w:rsidP="000F25BE">
      <w:pPr>
        <w:numPr>
          <w:ilvl w:val="0"/>
          <w:numId w:val="12"/>
        </w:numPr>
        <w:spacing w:before="100" w:beforeAutospacing="1" w:after="100" w:afterAutospacing="1" w:line="240" w:lineRule="auto"/>
        <w:ind w:left="300"/>
        <w:outlineLvl w:val="1"/>
        <w:rPr>
          <w:rFonts w:ascii="Akzidenz Medium" w:eastAsia="Times New Roman" w:hAnsi="Akzidenz Medium" w:cs="Arial"/>
          <w:color w:val="7E2E6A"/>
          <w:sz w:val="32"/>
          <w:szCs w:val="32"/>
        </w:rPr>
      </w:pPr>
      <w:bookmarkStart w:id="2" w:name="3"/>
      <w:bookmarkEnd w:id="2"/>
      <w:r w:rsidRPr="000F25BE">
        <w:rPr>
          <w:rFonts w:ascii="Akzidenz Medium" w:eastAsia="Times New Roman" w:hAnsi="Akzidenz Medium" w:cs="Arial"/>
          <w:color w:val="7E2E6A"/>
          <w:sz w:val="32"/>
          <w:szCs w:val="32"/>
        </w:rPr>
        <w:lastRenderedPageBreak/>
        <w:t>Responsibility for Records Management</w:t>
      </w:r>
    </w:p>
    <w:p w:rsidR="000F25BE" w:rsidRPr="000F25BE" w:rsidRDefault="000F25BE" w:rsidP="000F25BE">
      <w:pPr>
        <w:numPr>
          <w:ilvl w:val="0"/>
          <w:numId w:val="13"/>
        </w:numPr>
        <w:shd w:val="clear" w:color="auto" w:fill="F6F6F6"/>
        <w:spacing w:before="100" w:beforeAutospacing="1" w:after="100" w:afterAutospacing="1" w:line="240" w:lineRule="auto"/>
        <w:rPr>
          <w:rFonts w:ascii="Arial" w:eastAsia="Times New Roman" w:hAnsi="Arial" w:cs="Arial"/>
          <w:color w:val="444444"/>
        </w:rPr>
      </w:pPr>
      <w:r w:rsidRPr="000F25BE">
        <w:rPr>
          <w:rFonts w:ascii="Arial" w:eastAsia="Times New Roman" w:hAnsi="Arial" w:cs="Arial"/>
          <w:color w:val="444444"/>
        </w:rPr>
        <w:t>The Governance Office is responsible for the development and maintenance of the policies. Central to this is the promotion, implementation, maintenance and monitoring of all records management activity, in consultation with relevant staff across the University. </w:t>
      </w:r>
    </w:p>
    <w:p w:rsidR="000F25BE" w:rsidRPr="000F25BE" w:rsidRDefault="000F25BE" w:rsidP="000F25BE">
      <w:pPr>
        <w:numPr>
          <w:ilvl w:val="0"/>
          <w:numId w:val="13"/>
        </w:numPr>
        <w:shd w:val="clear" w:color="auto" w:fill="F6F6F6"/>
        <w:spacing w:before="100" w:beforeAutospacing="1" w:after="100" w:afterAutospacing="1" w:line="240" w:lineRule="auto"/>
        <w:ind w:left="300" w:hanging="360"/>
        <w:rPr>
          <w:rFonts w:ascii="Arial" w:eastAsia="Times New Roman" w:hAnsi="Arial" w:cs="Arial"/>
          <w:color w:val="444444"/>
        </w:rPr>
      </w:pPr>
      <w:r w:rsidRPr="000F25BE">
        <w:rPr>
          <w:rFonts w:ascii="Arial" w:eastAsia="Times New Roman" w:hAnsi="Arial" w:cs="Arial"/>
          <w:color w:val="444444"/>
        </w:rPr>
        <w:t xml:space="preserve">Responsibility for adherence to the policies (including the Data Protection and Freedom of Information obligations), as developed by the Governance Office, lies with the heads of each of the </w:t>
      </w:r>
      <w:proofErr w:type="gramStart"/>
      <w:r w:rsidRPr="000F25BE">
        <w:rPr>
          <w:rFonts w:ascii="Arial" w:eastAsia="Times New Roman" w:hAnsi="Arial" w:cs="Arial"/>
          <w:color w:val="444444"/>
        </w:rPr>
        <w:t>departments</w:t>
      </w:r>
      <w:proofErr w:type="gramEnd"/>
      <w:r w:rsidRPr="000F25BE">
        <w:rPr>
          <w:rFonts w:ascii="Arial" w:eastAsia="Times New Roman" w:hAnsi="Arial" w:cs="Arial"/>
          <w:color w:val="444444"/>
          <w:vertAlign w:val="superscript"/>
        </w:rPr>
        <w:fldChar w:fldCharType="begin"/>
      </w:r>
      <w:r w:rsidRPr="000F25BE">
        <w:rPr>
          <w:rFonts w:ascii="Arial" w:eastAsia="Times New Roman" w:hAnsi="Arial" w:cs="Arial"/>
          <w:color w:val="444444"/>
          <w:vertAlign w:val="superscript"/>
        </w:rPr>
        <w:instrText xml:space="preserve"> HYPERLINK "https://www1.essex.ac.uk/records_management/policies/sm_policy.aspx" \l "footnote1" </w:instrText>
      </w:r>
      <w:r w:rsidRPr="000F25BE">
        <w:rPr>
          <w:rFonts w:ascii="Arial" w:eastAsia="Times New Roman" w:hAnsi="Arial" w:cs="Arial"/>
          <w:color w:val="444444"/>
          <w:vertAlign w:val="superscript"/>
        </w:rPr>
        <w:fldChar w:fldCharType="separate"/>
      </w:r>
      <w:r w:rsidRPr="000F25BE">
        <w:rPr>
          <w:rFonts w:ascii="Arial" w:eastAsia="Times New Roman" w:hAnsi="Arial" w:cs="Arial"/>
          <w:color w:val="444444"/>
          <w:u w:val="single"/>
          <w:vertAlign w:val="superscript"/>
        </w:rPr>
        <w:t>[1]</w:t>
      </w:r>
      <w:r w:rsidRPr="000F25BE">
        <w:rPr>
          <w:rFonts w:ascii="Arial" w:eastAsia="Times New Roman" w:hAnsi="Arial" w:cs="Arial"/>
          <w:color w:val="444444"/>
          <w:vertAlign w:val="superscript"/>
        </w:rPr>
        <w:fldChar w:fldCharType="end"/>
      </w:r>
      <w:r w:rsidRPr="000F25BE">
        <w:rPr>
          <w:rFonts w:ascii="Arial" w:eastAsia="Times New Roman" w:hAnsi="Arial" w:cs="Arial"/>
          <w:color w:val="444444"/>
        </w:rPr>
        <w:t>. Senior management responsibility for records management lies with the Registrar and Secretary. </w:t>
      </w:r>
    </w:p>
    <w:p w:rsidR="000F25BE" w:rsidRPr="000F25BE" w:rsidRDefault="000F25BE" w:rsidP="000F25BE">
      <w:pPr>
        <w:numPr>
          <w:ilvl w:val="0"/>
          <w:numId w:val="13"/>
        </w:numPr>
        <w:shd w:val="clear" w:color="auto" w:fill="F6F6F6"/>
        <w:spacing w:before="100" w:beforeAutospacing="1" w:after="100" w:afterAutospacing="1" w:line="240" w:lineRule="auto"/>
        <w:ind w:left="300" w:hanging="360"/>
        <w:rPr>
          <w:rFonts w:ascii="Arial" w:eastAsia="Times New Roman" w:hAnsi="Arial" w:cs="Arial"/>
          <w:color w:val="444444"/>
        </w:rPr>
      </w:pPr>
      <w:r w:rsidRPr="000F25BE">
        <w:rPr>
          <w:rFonts w:ascii="Arial" w:eastAsia="Times New Roman" w:hAnsi="Arial" w:cs="Arial"/>
          <w:color w:val="444444"/>
        </w:rPr>
        <w:t>On the basis of the information and guidance provided by the Governance Office, staff are obliged to:</w:t>
      </w:r>
    </w:p>
    <w:p w:rsidR="000F25BE" w:rsidRPr="000F25BE" w:rsidRDefault="000F25BE" w:rsidP="000F25BE">
      <w:pPr>
        <w:numPr>
          <w:ilvl w:val="1"/>
          <w:numId w:val="14"/>
        </w:numPr>
        <w:shd w:val="clear" w:color="auto" w:fill="F6F6F6"/>
        <w:spacing w:before="100" w:beforeAutospacing="1" w:after="100" w:afterAutospacing="1" w:line="240" w:lineRule="auto"/>
        <w:ind w:left="600"/>
        <w:rPr>
          <w:rFonts w:ascii="Arial" w:eastAsia="Times New Roman" w:hAnsi="Arial" w:cs="Arial"/>
          <w:color w:val="444444"/>
        </w:rPr>
      </w:pPr>
      <w:r w:rsidRPr="000F25BE">
        <w:rPr>
          <w:rFonts w:ascii="Arial" w:eastAsia="Times New Roman" w:hAnsi="Arial" w:cs="Arial"/>
          <w:color w:val="444444"/>
        </w:rPr>
        <w:t>understand and adhere to policies relevant to their work; </w:t>
      </w:r>
    </w:p>
    <w:p w:rsidR="000F25BE" w:rsidRPr="000F25BE" w:rsidRDefault="000F25BE" w:rsidP="000F25BE">
      <w:pPr>
        <w:numPr>
          <w:ilvl w:val="1"/>
          <w:numId w:val="15"/>
        </w:numPr>
        <w:shd w:val="clear" w:color="auto" w:fill="F6F6F6"/>
        <w:spacing w:before="100" w:beforeAutospacing="1" w:after="100" w:afterAutospacing="1" w:line="240" w:lineRule="auto"/>
        <w:ind w:left="600"/>
        <w:rPr>
          <w:rFonts w:ascii="Arial" w:eastAsia="Times New Roman" w:hAnsi="Arial" w:cs="Arial"/>
          <w:color w:val="444444"/>
        </w:rPr>
      </w:pPr>
      <w:r w:rsidRPr="000F25BE">
        <w:rPr>
          <w:rFonts w:ascii="Arial" w:eastAsia="Times New Roman" w:hAnsi="Arial" w:cs="Arial"/>
          <w:color w:val="444444"/>
        </w:rPr>
        <w:t>ensure that records are held on the most appropriate medium for the task they perform; </w:t>
      </w:r>
    </w:p>
    <w:p w:rsidR="000F25BE" w:rsidRPr="000F25BE" w:rsidRDefault="000F25BE" w:rsidP="000F25BE">
      <w:pPr>
        <w:numPr>
          <w:ilvl w:val="1"/>
          <w:numId w:val="16"/>
        </w:numPr>
        <w:shd w:val="clear" w:color="auto" w:fill="F6F6F6"/>
        <w:spacing w:before="100" w:beforeAutospacing="1" w:after="100" w:afterAutospacing="1" w:line="240" w:lineRule="auto"/>
        <w:ind w:left="600"/>
        <w:rPr>
          <w:rFonts w:ascii="Arial" w:eastAsia="Times New Roman" w:hAnsi="Arial" w:cs="Arial"/>
          <w:color w:val="444444"/>
        </w:rPr>
      </w:pPr>
      <w:r w:rsidRPr="000F25BE">
        <w:rPr>
          <w:rFonts w:ascii="Arial" w:eastAsia="Times New Roman" w:hAnsi="Arial" w:cs="Arial"/>
          <w:color w:val="444444"/>
        </w:rPr>
        <w:t>identify those records that are vital to the operation of the University, and ensure they are preserved appropriately; </w:t>
      </w:r>
    </w:p>
    <w:p w:rsidR="000F25BE" w:rsidRPr="000F25BE" w:rsidRDefault="000F25BE" w:rsidP="000F25BE">
      <w:pPr>
        <w:numPr>
          <w:ilvl w:val="1"/>
          <w:numId w:val="17"/>
        </w:numPr>
        <w:shd w:val="clear" w:color="auto" w:fill="F6F6F6"/>
        <w:spacing w:before="100" w:beforeAutospacing="1" w:after="100" w:afterAutospacing="1" w:line="240" w:lineRule="auto"/>
        <w:ind w:left="600"/>
        <w:rPr>
          <w:rFonts w:ascii="Arial" w:eastAsia="Times New Roman" w:hAnsi="Arial" w:cs="Arial"/>
          <w:color w:val="444444"/>
        </w:rPr>
      </w:pPr>
      <w:r w:rsidRPr="000F25BE">
        <w:rPr>
          <w:rFonts w:ascii="Arial" w:eastAsia="Times New Roman" w:hAnsi="Arial" w:cs="Arial"/>
          <w:color w:val="444444"/>
        </w:rPr>
        <w:t>review periodically records that have been identified for permanent archive; and </w:t>
      </w:r>
    </w:p>
    <w:p w:rsidR="000F25BE" w:rsidRPr="000F25BE" w:rsidRDefault="000F25BE" w:rsidP="000F25BE">
      <w:pPr>
        <w:numPr>
          <w:ilvl w:val="1"/>
          <w:numId w:val="18"/>
        </w:numPr>
        <w:shd w:val="clear" w:color="auto" w:fill="F6F6F6"/>
        <w:spacing w:before="100" w:beforeAutospacing="1" w:after="100" w:afterAutospacing="1" w:line="240" w:lineRule="auto"/>
        <w:ind w:left="600"/>
        <w:rPr>
          <w:rFonts w:ascii="Arial" w:eastAsia="Times New Roman" w:hAnsi="Arial" w:cs="Arial"/>
          <w:color w:val="444444"/>
        </w:rPr>
      </w:pPr>
      <w:proofErr w:type="gramStart"/>
      <w:r w:rsidRPr="000F25BE">
        <w:rPr>
          <w:rFonts w:ascii="Arial" w:eastAsia="Times New Roman" w:hAnsi="Arial" w:cs="Arial"/>
          <w:color w:val="444444"/>
        </w:rPr>
        <w:t>dispose</w:t>
      </w:r>
      <w:proofErr w:type="gramEnd"/>
      <w:r w:rsidRPr="000F25BE">
        <w:rPr>
          <w:rFonts w:ascii="Arial" w:eastAsia="Times New Roman" w:hAnsi="Arial" w:cs="Arial"/>
          <w:color w:val="444444"/>
        </w:rPr>
        <w:t xml:space="preserve"> of and/or destroy appropriately those records that have reached the end of their retention period.</w:t>
      </w:r>
    </w:p>
    <w:p w:rsidR="000F25BE" w:rsidRPr="000F25BE" w:rsidRDefault="000F25BE" w:rsidP="000F25BE">
      <w:pPr>
        <w:numPr>
          <w:ilvl w:val="0"/>
          <w:numId w:val="19"/>
        </w:numPr>
        <w:spacing w:before="100" w:beforeAutospacing="1" w:after="100" w:afterAutospacing="1" w:line="240" w:lineRule="auto"/>
        <w:ind w:left="300"/>
        <w:outlineLvl w:val="1"/>
        <w:rPr>
          <w:rFonts w:ascii="Akzidenz Medium" w:eastAsia="Times New Roman" w:hAnsi="Akzidenz Medium" w:cs="Arial"/>
          <w:color w:val="7E2E6A"/>
          <w:sz w:val="32"/>
          <w:szCs w:val="32"/>
        </w:rPr>
      </w:pPr>
      <w:bookmarkStart w:id="3" w:name="4"/>
      <w:bookmarkEnd w:id="3"/>
      <w:r w:rsidRPr="000F25BE">
        <w:rPr>
          <w:rFonts w:ascii="Akzidenz Medium" w:eastAsia="Times New Roman" w:hAnsi="Akzidenz Medium" w:cs="Arial"/>
          <w:color w:val="7E2E6A"/>
          <w:sz w:val="32"/>
          <w:szCs w:val="32"/>
        </w:rPr>
        <w:t>Records Management Framework and Implementation</w:t>
      </w:r>
    </w:p>
    <w:p w:rsidR="000F25BE" w:rsidRPr="000F25BE" w:rsidRDefault="000F25BE" w:rsidP="000F25BE">
      <w:pPr>
        <w:numPr>
          <w:ilvl w:val="0"/>
          <w:numId w:val="20"/>
        </w:numPr>
        <w:shd w:val="clear" w:color="auto" w:fill="F6F6F6"/>
        <w:spacing w:before="100" w:beforeAutospacing="1" w:after="100" w:afterAutospacing="1" w:line="240" w:lineRule="auto"/>
        <w:rPr>
          <w:rFonts w:ascii="Arial" w:eastAsia="Times New Roman" w:hAnsi="Arial" w:cs="Arial"/>
          <w:color w:val="444444"/>
        </w:rPr>
      </w:pPr>
      <w:r w:rsidRPr="000F25BE">
        <w:rPr>
          <w:rFonts w:ascii="Arial" w:eastAsia="Times New Roman" w:hAnsi="Arial" w:cs="Arial"/>
          <w:color w:val="444444"/>
        </w:rPr>
        <w:t>Each department has in place a formal records management policy, a standard procedures document relating to the management and retention of each set of records relating to the core functions of that department, a retention schedule setting out how long each set of records is retained, and an archive policy. Each department adheres to all other relevant University-wide policies, including the Records Disposal Policy.</w:t>
      </w:r>
    </w:p>
    <w:p w:rsidR="000F25BE" w:rsidRPr="000F25BE" w:rsidRDefault="000F25BE" w:rsidP="000F25BE">
      <w:pPr>
        <w:numPr>
          <w:ilvl w:val="0"/>
          <w:numId w:val="20"/>
        </w:numPr>
        <w:shd w:val="clear" w:color="auto" w:fill="F6F6F6"/>
        <w:spacing w:before="100" w:beforeAutospacing="1" w:after="100" w:afterAutospacing="1" w:line="240" w:lineRule="auto"/>
        <w:ind w:left="300" w:hanging="360"/>
        <w:rPr>
          <w:rFonts w:ascii="Arial" w:eastAsia="Times New Roman" w:hAnsi="Arial" w:cs="Arial"/>
          <w:color w:val="444444"/>
        </w:rPr>
      </w:pPr>
      <w:r w:rsidRPr="000F25BE">
        <w:rPr>
          <w:rFonts w:ascii="Arial" w:eastAsia="Times New Roman" w:hAnsi="Arial" w:cs="Arial"/>
          <w:color w:val="444444"/>
        </w:rPr>
        <w:t xml:space="preserve">The Governance Office is responsible for ensuring that the policies are implemented effectively, and for raising awareness throughout the University of the </w:t>
      </w:r>
      <w:proofErr w:type="gramStart"/>
      <w:r w:rsidRPr="000F25BE">
        <w:rPr>
          <w:rFonts w:ascii="Arial" w:eastAsia="Times New Roman" w:hAnsi="Arial" w:cs="Arial"/>
          <w:color w:val="444444"/>
        </w:rPr>
        <w:t>existence</w:t>
      </w:r>
      <w:proofErr w:type="gramEnd"/>
      <w:r w:rsidRPr="000F25BE">
        <w:rPr>
          <w:rFonts w:ascii="Arial" w:eastAsia="Times New Roman" w:hAnsi="Arial" w:cs="Arial"/>
          <w:color w:val="444444"/>
        </w:rPr>
        <w:t xml:space="preserve"> of the policies and the importance of compliance.</w:t>
      </w:r>
    </w:p>
    <w:p w:rsidR="000F25BE" w:rsidRPr="000F25BE" w:rsidRDefault="000F25BE" w:rsidP="000F25BE">
      <w:pPr>
        <w:numPr>
          <w:ilvl w:val="0"/>
          <w:numId w:val="20"/>
        </w:numPr>
        <w:shd w:val="clear" w:color="auto" w:fill="F6F6F6"/>
        <w:spacing w:before="100" w:beforeAutospacing="1" w:after="100" w:afterAutospacing="1" w:line="240" w:lineRule="auto"/>
        <w:ind w:left="300" w:hanging="360"/>
        <w:rPr>
          <w:rFonts w:ascii="Arial" w:eastAsia="Times New Roman" w:hAnsi="Arial" w:cs="Arial"/>
          <w:color w:val="444444"/>
        </w:rPr>
      </w:pPr>
      <w:r w:rsidRPr="000F25BE">
        <w:rPr>
          <w:rFonts w:ascii="Arial" w:eastAsia="Times New Roman" w:hAnsi="Arial" w:cs="Arial"/>
          <w:color w:val="444444"/>
        </w:rPr>
        <w:t>Each department nominates an individual with whom the Governance Office liaises on all matters relating to records management. This nominee reports directly to the head of the department. Collectively, the group of nominees is known as the </w:t>
      </w:r>
      <w:hyperlink r:id="rId14" w:history="1">
        <w:r w:rsidRPr="000F25BE">
          <w:rPr>
            <w:rFonts w:ascii="Arial" w:eastAsia="Times New Roman" w:hAnsi="Arial" w:cs="Arial"/>
            <w:color w:val="444444"/>
            <w:u w:val="single"/>
          </w:rPr>
          <w:t>Records Management Network</w:t>
        </w:r>
      </w:hyperlink>
      <w:r w:rsidRPr="000F25BE">
        <w:rPr>
          <w:rFonts w:ascii="Arial" w:eastAsia="Times New Roman" w:hAnsi="Arial" w:cs="Arial"/>
          <w:color w:val="444444"/>
        </w:rPr>
        <w:t>.</w:t>
      </w:r>
    </w:p>
    <w:p w:rsidR="000F25BE" w:rsidRPr="000F25BE" w:rsidRDefault="000F25BE" w:rsidP="000F25BE">
      <w:pPr>
        <w:numPr>
          <w:ilvl w:val="0"/>
          <w:numId w:val="20"/>
        </w:numPr>
        <w:shd w:val="clear" w:color="auto" w:fill="F6F6F6"/>
        <w:spacing w:before="100" w:beforeAutospacing="1" w:after="100" w:afterAutospacing="1" w:line="240" w:lineRule="auto"/>
        <w:ind w:left="300" w:hanging="360"/>
        <w:rPr>
          <w:rFonts w:ascii="Arial" w:eastAsia="Times New Roman" w:hAnsi="Arial" w:cs="Arial"/>
          <w:color w:val="444444"/>
        </w:rPr>
      </w:pPr>
      <w:r w:rsidRPr="000F25BE">
        <w:rPr>
          <w:rFonts w:ascii="Arial" w:eastAsia="Times New Roman" w:hAnsi="Arial" w:cs="Arial"/>
          <w:color w:val="444444"/>
        </w:rPr>
        <w:t>In liaison with the Governance Office, each department is responsible for ensuring it has effective manual and electronic filing systems that enable timely and efficient access to data upon request.</w:t>
      </w:r>
    </w:p>
    <w:p w:rsidR="000F25BE" w:rsidRPr="000F25BE" w:rsidRDefault="000F25BE" w:rsidP="000F25BE">
      <w:pPr>
        <w:numPr>
          <w:ilvl w:val="0"/>
          <w:numId w:val="21"/>
        </w:numPr>
        <w:spacing w:before="100" w:beforeAutospacing="1" w:after="100" w:afterAutospacing="1" w:line="240" w:lineRule="auto"/>
        <w:ind w:left="300"/>
        <w:outlineLvl w:val="1"/>
        <w:rPr>
          <w:rFonts w:ascii="Akzidenz Medium" w:eastAsia="Times New Roman" w:hAnsi="Akzidenz Medium" w:cs="Arial"/>
          <w:color w:val="7E2E6A"/>
          <w:sz w:val="32"/>
          <w:szCs w:val="32"/>
        </w:rPr>
      </w:pPr>
      <w:bookmarkStart w:id="4" w:name="5"/>
      <w:bookmarkEnd w:id="4"/>
      <w:r w:rsidRPr="000F25BE">
        <w:rPr>
          <w:rFonts w:ascii="Akzidenz Medium" w:eastAsia="Times New Roman" w:hAnsi="Akzidenz Medium" w:cs="Arial"/>
          <w:color w:val="7E2E6A"/>
          <w:sz w:val="32"/>
          <w:szCs w:val="32"/>
        </w:rPr>
        <w:t>Staff Training and Development</w:t>
      </w:r>
    </w:p>
    <w:p w:rsidR="000F25BE" w:rsidRPr="000F25BE" w:rsidRDefault="000F25BE" w:rsidP="000F25BE">
      <w:pPr>
        <w:numPr>
          <w:ilvl w:val="0"/>
          <w:numId w:val="22"/>
        </w:numPr>
        <w:shd w:val="clear" w:color="auto" w:fill="F6F6F6"/>
        <w:spacing w:before="100" w:beforeAutospacing="1" w:after="100" w:afterAutospacing="1" w:line="240" w:lineRule="auto"/>
        <w:rPr>
          <w:rFonts w:ascii="Arial" w:eastAsia="Times New Roman" w:hAnsi="Arial" w:cs="Arial"/>
          <w:color w:val="444444"/>
        </w:rPr>
      </w:pPr>
      <w:r w:rsidRPr="000F25BE">
        <w:rPr>
          <w:rFonts w:ascii="Arial" w:eastAsia="Times New Roman" w:hAnsi="Arial" w:cs="Arial"/>
          <w:color w:val="444444"/>
        </w:rPr>
        <w:t>The Governance Office produces and maintains relevant guidance for staff, all of which is published via this website.</w:t>
      </w:r>
    </w:p>
    <w:p w:rsidR="000F25BE" w:rsidRPr="000F25BE" w:rsidRDefault="000F25BE" w:rsidP="000F25BE">
      <w:pPr>
        <w:numPr>
          <w:ilvl w:val="0"/>
          <w:numId w:val="22"/>
        </w:numPr>
        <w:shd w:val="clear" w:color="auto" w:fill="F6F6F6"/>
        <w:spacing w:before="100" w:beforeAutospacing="1" w:after="100" w:afterAutospacing="1" w:line="240" w:lineRule="auto"/>
        <w:ind w:left="300" w:hanging="360"/>
        <w:rPr>
          <w:rFonts w:ascii="Arial" w:eastAsia="Times New Roman" w:hAnsi="Arial" w:cs="Arial"/>
          <w:color w:val="444444"/>
        </w:rPr>
      </w:pPr>
      <w:r w:rsidRPr="000F25BE">
        <w:rPr>
          <w:rFonts w:ascii="Arial" w:eastAsia="Times New Roman" w:hAnsi="Arial" w:cs="Arial"/>
          <w:color w:val="444444"/>
        </w:rPr>
        <w:t>The Information Manager </w:t>
      </w:r>
      <w:hyperlink r:id="rId15" w:history="1">
        <w:r w:rsidRPr="000F25BE">
          <w:rPr>
            <w:rFonts w:ascii="Arial" w:eastAsia="Times New Roman" w:hAnsi="Arial" w:cs="Arial"/>
            <w:color w:val="444444"/>
            <w:u w:val="single"/>
          </w:rPr>
          <w:t>provides and supports appropriate training and information for all members of staff</w:t>
        </w:r>
      </w:hyperlink>
      <w:r w:rsidRPr="000F25BE">
        <w:rPr>
          <w:rFonts w:ascii="Arial" w:eastAsia="Times New Roman" w:hAnsi="Arial" w:cs="Arial"/>
          <w:color w:val="444444"/>
        </w:rPr>
        <w:t>. The training aims to provide employees with the skills and knowledge necessary for them to understand and adhere to the policies, and to raise awareness of the University's legal obligations in this area.</w:t>
      </w:r>
    </w:p>
    <w:p w:rsidR="000F25BE" w:rsidRPr="000F25BE" w:rsidRDefault="000F25BE" w:rsidP="000F25BE">
      <w:pPr>
        <w:numPr>
          <w:ilvl w:val="0"/>
          <w:numId w:val="22"/>
        </w:numPr>
        <w:shd w:val="clear" w:color="auto" w:fill="F6F6F6"/>
        <w:spacing w:before="100" w:beforeAutospacing="1" w:after="100" w:afterAutospacing="1" w:line="240" w:lineRule="auto"/>
        <w:ind w:left="300" w:hanging="360"/>
        <w:rPr>
          <w:rFonts w:ascii="Arial" w:eastAsia="Times New Roman" w:hAnsi="Arial" w:cs="Arial"/>
          <w:color w:val="444444"/>
        </w:rPr>
      </w:pPr>
      <w:r w:rsidRPr="000F25BE">
        <w:rPr>
          <w:rFonts w:ascii="Arial" w:eastAsia="Times New Roman" w:hAnsi="Arial" w:cs="Arial"/>
          <w:color w:val="444444"/>
        </w:rPr>
        <w:t xml:space="preserve">The University's new staff induction programme includes sections on Data Protection and Freedom of Information to ensure new staff </w:t>
      </w:r>
      <w:proofErr w:type="gramStart"/>
      <w:r w:rsidRPr="000F25BE">
        <w:rPr>
          <w:rFonts w:ascii="Arial" w:eastAsia="Times New Roman" w:hAnsi="Arial" w:cs="Arial"/>
          <w:color w:val="444444"/>
        </w:rPr>
        <w:t>understand</w:t>
      </w:r>
      <w:proofErr w:type="gramEnd"/>
      <w:r w:rsidRPr="000F25BE">
        <w:rPr>
          <w:rFonts w:ascii="Arial" w:eastAsia="Times New Roman" w:hAnsi="Arial" w:cs="Arial"/>
          <w:color w:val="444444"/>
        </w:rPr>
        <w:t xml:space="preserve"> the University's legal obligations.</w:t>
      </w:r>
    </w:p>
    <w:p w:rsidR="000F25BE" w:rsidRPr="000F25BE" w:rsidRDefault="000F25BE" w:rsidP="000F25BE">
      <w:pPr>
        <w:numPr>
          <w:ilvl w:val="0"/>
          <w:numId w:val="23"/>
        </w:numPr>
        <w:spacing w:before="100" w:beforeAutospacing="1" w:after="100" w:afterAutospacing="1" w:line="240" w:lineRule="auto"/>
        <w:ind w:left="300"/>
        <w:outlineLvl w:val="1"/>
        <w:rPr>
          <w:rFonts w:ascii="Akzidenz Medium" w:eastAsia="Times New Roman" w:hAnsi="Akzidenz Medium" w:cs="Arial"/>
          <w:color w:val="7E2E6A"/>
          <w:sz w:val="32"/>
          <w:szCs w:val="32"/>
        </w:rPr>
      </w:pPr>
      <w:bookmarkStart w:id="5" w:name="6"/>
      <w:bookmarkEnd w:id="5"/>
      <w:r w:rsidRPr="000F25BE">
        <w:rPr>
          <w:rFonts w:ascii="Akzidenz Medium" w:eastAsia="Times New Roman" w:hAnsi="Akzidenz Medium" w:cs="Arial"/>
          <w:color w:val="7E2E6A"/>
          <w:sz w:val="32"/>
          <w:szCs w:val="32"/>
        </w:rPr>
        <w:t>Policy Review and Audit</w:t>
      </w:r>
    </w:p>
    <w:p w:rsidR="000F25BE" w:rsidRPr="000F25BE" w:rsidRDefault="000F25BE" w:rsidP="000F25BE">
      <w:pPr>
        <w:numPr>
          <w:ilvl w:val="0"/>
          <w:numId w:val="24"/>
        </w:numPr>
        <w:shd w:val="clear" w:color="auto" w:fill="F6F6F6"/>
        <w:spacing w:before="100" w:beforeAutospacing="1" w:after="100" w:afterAutospacing="1" w:line="240" w:lineRule="auto"/>
        <w:rPr>
          <w:rFonts w:ascii="Arial" w:eastAsia="Times New Roman" w:hAnsi="Arial" w:cs="Arial"/>
          <w:color w:val="444444"/>
        </w:rPr>
      </w:pPr>
      <w:r w:rsidRPr="000F25BE">
        <w:rPr>
          <w:rFonts w:ascii="Arial" w:eastAsia="Times New Roman" w:hAnsi="Arial" w:cs="Arial"/>
          <w:color w:val="444444"/>
        </w:rPr>
        <w:lastRenderedPageBreak/>
        <w:t>In conjunction with relevant staff, the Governance Office undertakes to review the policies at least every three years, depending on developments within the sector, and to audit adherence throughout the University on a regular basis.</w:t>
      </w:r>
    </w:p>
    <w:p w:rsidR="000F25BE" w:rsidRPr="000F25BE" w:rsidRDefault="000F25BE" w:rsidP="000F25BE">
      <w:pPr>
        <w:numPr>
          <w:ilvl w:val="0"/>
          <w:numId w:val="25"/>
        </w:numPr>
        <w:spacing w:before="100" w:beforeAutospacing="1" w:after="100" w:afterAutospacing="1" w:line="240" w:lineRule="auto"/>
        <w:ind w:left="300"/>
        <w:outlineLvl w:val="1"/>
        <w:rPr>
          <w:rFonts w:ascii="Akzidenz Medium" w:eastAsia="Times New Roman" w:hAnsi="Akzidenz Medium" w:cs="Arial"/>
          <w:color w:val="7E2E6A"/>
          <w:sz w:val="32"/>
          <w:szCs w:val="32"/>
        </w:rPr>
      </w:pPr>
      <w:bookmarkStart w:id="6" w:name="7"/>
      <w:bookmarkEnd w:id="6"/>
      <w:r w:rsidRPr="000F25BE">
        <w:rPr>
          <w:rFonts w:ascii="Akzidenz Medium" w:eastAsia="Times New Roman" w:hAnsi="Akzidenz Medium" w:cs="Arial"/>
          <w:color w:val="7E2E6A"/>
          <w:sz w:val="32"/>
          <w:szCs w:val="32"/>
        </w:rPr>
        <w:t>Contact Information</w:t>
      </w:r>
    </w:p>
    <w:p w:rsidR="000F25BE" w:rsidRPr="000F25BE" w:rsidRDefault="000F25BE" w:rsidP="000F25BE">
      <w:pPr>
        <w:shd w:val="clear" w:color="auto" w:fill="F6F6F6"/>
        <w:spacing w:before="100" w:beforeAutospacing="1" w:after="100" w:afterAutospacing="1" w:line="240" w:lineRule="auto"/>
        <w:rPr>
          <w:rFonts w:ascii="Arial" w:eastAsia="Times New Roman" w:hAnsi="Arial" w:cs="Arial"/>
          <w:color w:val="444444"/>
        </w:rPr>
      </w:pPr>
      <w:r w:rsidRPr="000F25BE">
        <w:rPr>
          <w:rFonts w:ascii="Arial" w:eastAsia="Times New Roman" w:hAnsi="Arial" w:cs="Arial"/>
          <w:color w:val="444444"/>
        </w:rPr>
        <w:t>Queries concerning any aspect of records management policy, including data protection and freedom of information, should be addressed in the first instance to the Governance </w:t>
      </w:r>
      <w:hyperlink r:id="rId16" w:history="1">
        <w:r w:rsidRPr="000F25BE">
          <w:rPr>
            <w:rFonts w:ascii="Arial" w:eastAsia="Times New Roman" w:hAnsi="Arial" w:cs="Arial"/>
            <w:color w:val="444444"/>
            <w:u w:val="single"/>
          </w:rPr>
          <w:t>Office</w:t>
        </w:r>
      </w:hyperlink>
      <w:r w:rsidRPr="000F25BE">
        <w:rPr>
          <w:rFonts w:ascii="Arial" w:eastAsia="Times New Roman" w:hAnsi="Arial" w:cs="Arial"/>
          <w:color w:val="444444"/>
        </w:rPr>
        <w:t>.</w:t>
      </w:r>
    </w:p>
    <w:p w:rsidR="000F25BE" w:rsidRPr="000F25BE" w:rsidRDefault="000F25BE" w:rsidP="000F25BE">
      <w:pPr>
        <w:shd w:val="clear" w:color="auto" w:fill="F6F6F6"/>
        <w:spacing w:before="100" w:beforeAutospacing="1" w:after="100" w:afterAutospacing="1" w:line="240" w:lineRule="auto"/>
        <w:rPr>
          <w:rFonts w:ascii="Arial" w:eastAsia="Times New Roman" w:hAnsi="Arial" w:cs="Arial"/>
          <w:color w:val="444444"/>
        </w:rPr>
      </w:pPr>
      <w:r w:rsidRPr="000F25BE">
        <w:rPr>
          <w:rFonts w:ascii="Akzidenz Medium" w:eastAsia="Times New Roman" w:hAnsi="Akzidenz Medium" w:cs="Arial"/>
          <w:color w:val="444444"/>
        </w:rPr>
        <w:t>Policy Agreed:</w:t>
      </w:r>
      <w:r w:rsidRPr="000F25BE">
        <w:rPr>
          <w:rFonts w:ascii="Arial" w:eastAsia="Times New Roman" w:hAnsi="Arial" w:cs="Arial"/>
          <w:color w:val="444444"/>
        </w:rPr>
        <w:t> September 2005</w:t>
      </w:r>
      <w:r w:rsidRPr="000F25BE">
        <w:rPr>
          <w:rFonts w:ascii="Arial" w:eastAsia="Times New Roman" w:hAnsi="Arial" w:cs="Arial"/>
          <w:color w:val="444444"/>
        </w:rPr>
        <w:br/>
      </w:r>
      <w:r w:rsidRPr="000F25BE">
        <w:rPr>
          <w:rFonts w:ascii="Akzidenz Medium" w:eastAsia="Times New Roman" w:hAnsi="Akzidenz Medium" w:cs="Arial"/>
          <w:color w:val="444444"/>
        </w:rPr>
        <w:t>Policy Effective from:</w:t>
      </w:r>
      <w:r w:rsidRPr="000F25BE">
        <w:rPr>
          <w:rFonts w:ascii="Arial" w:eastAsia="Times New Roman" w:hAnsi="Arial" w:cs="Arial"/>
          <w:color w:val="444444"/>
        </w:rPr>
        <w:t> September 2005</w:t>
      </w:r>
      <w:r w:rsidRPr="000F25BE">
        <w:rPr>
          <w:rFonts w:ascii="Arial" w:eastAsia="Times New Roman" w:hAnsi="Arial" w:cs="Arial"/>
          <w:color w:val="444444"/>
        </w:rPr>
        <w:br/>
      </w:r>
      <w:r w:rsidRPr="000F25BE">
        <w:rPr>
          <w:rFonts w:ascii="Akzidenz Medium" w:eastAsia="Times New Roman" w:hAnsi="Akzidenz Medium" w:cs="Arial"/>
          <w:color w:val="444444"/>
        </w:rPr>
        <w:t>Policy due for renewal:</w:t>
      </w:r>
      <w:r w:rsidRPr="000F25BE">
        <w:rPr>
          <w:rFonts w:ascii="Arial" w:eastAsia="Times New Roman" w:hAnsi="Arial" w:cs="Arial"/>
          <w:color w:val="444444"/>
        </w:rPr>
        <w:t> September 2008</w:t>
      </w:r>
      <w:r w:rsidRPr="000F25BE">
        <w:rPr>
          <w:rFonts w:ascii="Arial" w:eastAsia="Times New Roman" w:hAnsi="Arial" w:cs="Arial"/>
          <w:color w:val="444444"/>
        </w:rPr>
        <w:br/>
      </w:r>
      <w:r w:rsidRPr="000F25BE">
        <w:rPr>
          <w:rFonts w:ascii="Arial" w:eastAsia="Times New Roman" w:hAnsi="Arial" w:cs="Arial"/>
          <w:color w:val="444444"/>
        </w:rPr>
        <w:br/>
        <w:t>Information Manager</w:t>
      </w:r>
      <w:r w:rsidRPr="000F25BE">
        <w:rPr>
          <w:rFonts w:ascii="Arial" w:eastAsia="Times New Roman" w:hAnsi="Arial" w:cs="Arial"/>
          <w:color w:val="444444"/>
        </w:rPr>
        <w:br/>
        <w:t>September 2005</w:t>
      </w:r>
    </w:p>
    <w:p w:rsidR="00B269F5" w:rsidRPr="00CB2B94" w:rsidRDefault="000F25BE" w:rsidP="000F25BE">
      <w:pPr>
        <w:spacing w:after="0" w:line="240" w:lineRule="auto"/>
        <w:rPr>
          <w:rFonts w:ascii="Arial" w:hAnsi="Arial" w:cs="Arial"/>
          <w:sz w:val="20"/>
          <w:szCs w:val="20"/>
        </w:rPr>
      </w:pPr>
      <w:bookmarkStart w:id="7" w:name="footnote1"/>
      <w:r w:rsidRPr="000F25BE">
        <w:rPr>
          <w:rFonts w:ascii="Arial" w:eastAsia="Times New Roman" w:hAnsi="Arial" w:cs="Arial"/>
          <w:color w:val="444444"/>
        </w:rPr>
        <w:t>[1]</w:t>
      </w:r>
      <w:bookmarkEnd w:id="7"/>
      <w:r w:rsidRPr="000F25BE">
        <w:rPr>
          <w:rFonts w:ascii="Arial" w:eastAsia="Times New Roman" w:hAnsi="Arial" w:cs="Arial"/>
          <w:color w:val="444444"/>
          <w:shd w:val="clear" w:color="auto" w:fill="FFFFFF"/>
        </w:rPr>
        <w:t>In this context "department" is defined in the widest sense and encompasses administrative sections, major centres and other significant units in the University.</w:t>
      </w:r>
      <w:bookmarkStart w:id="8" w:name="_GoBack"/>
      <w:bookmarkEnd w:id="8"/>
    </w:p>
    <w:sectPr w:rsidR="00B269F5" w:rsidRPr="00CB2B94" w:rsidSect="00B26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zidenz 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792"/>
    <w:multiLevelType w:val="multilevel"/>
    <w:tmpl w:val="20A6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21854"/>
    <w:multiLevelType w:val="multilevel"/>
    <w:tmpl w:val="202A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029DD"/>
    <w:multiLevelType w:val="multilevel"/>
    <w:tmpl w:val="8E7CBD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4E2608"/>
    <w:multiLevelType w:val="multilevel"/>
    <w:tmpl w:val="8B107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5608D"/>
    <w:multiLevelType w:val="multilevel"/>
    <w:tmpl w:val="8474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A4E90"/>
    <w:multiLevelType w:val="multilevel"/>
    <w:tmpl w:val="7DAA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E665D1"/>
    <w:multiLevelType w:val="multilevel"/>
    <w:tmpl w:val="C3DEA4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3C1B1164"/>
    <w:multiLevelType w:val="multilevel"/>
    <w:tmpl w:val="DAD6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C346E5"/>
    <w:multiLevelType w:val="multilevel"/>
    <w:tmpl w:val="032C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B27598"/>
    <w:multiLevelType w:val="multilevel"/>
    <w:tmpl w:val="177EA2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F86E0B"/>
    <w:multiLevelType w:val="multilevel"/>
    <w:tmpl w:val="D1E8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5B416D"/>
    <w:multiLevelType w:val="multilevel"/>
    <w:tmpl w:val="85C2D2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AD3930"/>
    <w:multiLevelType w:val="multilevel"/>
    <w:tmpl w:val="41D03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BA36B8"/>
    <w:multiLevelType w:val="multilevel"/>
    <w:tmpl w:val="C11C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6"/>
  </w:num>
  <w:num w:numId="4">
    <w:abstractNumId w:val="5"/>
    <w:lvlOverride w:ilvl="0">
      <w:startOverride w:val="2"/>
    </w:lvlOverride>
  </w:num>
  <w:num w:numId="5">
    <w:abstractNumId w:val="9"/>
    <w:lvlOverride w:ilvl="0">
      <w:lvl w:ilvl="0">
        <w:numFmt w:val="lowerRoman"/>
        <w:lvlText w:val="%1."/>
        <w:lvlJc w:val="right"/>
      </w:lvl>
    </w:lvlOverride>
  </w:num>
  <w:num w:numId="6">
    <w:abstractNumId w:val="9"/>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9"/>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9"/>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9"/>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9"/>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3"/>
    <w:lvlOverride w:ilvl="0">
      <w:startOverride w:val="3"/>
    </w:lvlOverride>
  </w:num>
  <w:num w:numId="13">
    <w:abstractNumId w:val="11"/>
    <w:lvlOverride w:ilvl="0">
      <w:lvl w:ilvl="0">
        <w:numFmt w:val="lowerRoman"/>
        <w:lvlText w:val="%1."/>
        <w:lvlJc w:val="right"/>
      </w:lvl>
    </w:lvlOverride>
  </w:num>
  <w:num w:numId="14">
    <w:abstractNumId w:val="11"/>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11"/>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11"/>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11"/>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11"/>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0"/>
    <w:lvlOverride w:ilvl="0">
      <w:startOverride w:val="4"/>
    </w:lvlOverride>
  </w:num>
  <w:num w:numId="20">
    <w:abstractNumId w:val="12"/>
    <w:lvlOverride w:ilvl="0">
      <w:lvl w:ilvl="0">
        <w:numFmt w:val="lowerRoman"/>
        <w:lvlText w:val="%1."/>
        <w:lvlJc w:val="right"/>
      </w:lvl>
    </w:lvlOverride>
  </w:num>
  <w:num w:numId="21">
    <w:abstractNumId w:val="2"/>
  </w:num>
  <w:num w:numId="22">
    <w:abstractNumId w:val="7"/>
    <w:lvlOverride w:ilvl="0">
      <w:lvl w:ilvl="0">
        <w:numFmt w:val="lowerRoman"/>
        <w:lvlText w:val="%1."/>
        <w:lvlJc w:val="right"/>
      </w:lvl>
    </w:lvlOverride>
  </w:num>
  <w:num w:numId="23">
    <w:abstractNumId w:val="10"/>
  </w:num>
  <w:num w:numId="24">
    <w:abstractNumId w:val="8"/>
    <w:lvlOverride w:ilvl="0">
      <w:lvl w:ilvl="0">
        <w:numFmt w:val="lowerRoman"/>
        <w:lvlText w:val="%1."/>
        <w:lvlJc w:val="right"/>
      </w:lvl>
    </w:lvlOverride>
  </w:num>
  <w:num w:numId="25">
    <w:abstractNumId w:val="1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BE"/>
    <w:rsid w:val="000F25BE"/>
    <w:rsid w:val="00B269F5"/>
    <w:rsid w:val="00CB2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25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25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5BE"/>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0F25BE"/>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0F25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25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25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25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5BE"/>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0F25BE"/>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0F25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2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360794">
      <w:bodyDiv w:val="1"/>
      <w:marLeft w:val="0"/>
      <w:marRight w:val="0"/>
      <w:marTop w:val="0"/>
      <w:marBottom w:val="0"/>
      <w:divBdr>
        <w:top w:val="none" w:sz="0" w:space="0" w:color="auto"/>
        <w:left w:val="none" w:sz="0" w:space="0" w:color="auto"/>
        <w:bottom w:val="none" w:sz="0" w:space="0" w:color="auto"/>
        <w:right w:val="none" w:sz="0" w:space="0" w:color="auto"/>
      </w:divBdr>
      <w:divsChild>
        <w:div w:id="1072627923">
          <w:marLeft w:val="0"/>
          <w:marRight w:val="0"/>
          <w:marTop w:val="0"/>
          <w:marBottom w:val="0"/>
          <w:divBdr>
            <w:top w:val="none" w:sz="0" w:space="0" w:color="auto"/>
            <w:left w:val="none" w:sz="0" w:space="0" w:color="auto"/>
            <w:bottom w:val="none" w:sz="0" w:space="0" w:color="auto"/>
            <w:right w:val="none" w:sz="0" w:space="0" w:color="auto"/>
          </w:divBdr>
          <w:divsChild>
            <w:div w:id="1484009170">
              <w:marLeft w:val="0"/>
              <w:marRight w:val="0"/>
              <w:marTop w:val="150"/>
              <w:marBottom w:val="150"/>
              <w:divBdr>
                <w:top w:val="single" w:sz="6" w:space="4" w:color="AAAAAA"/>
                <w:left w:val="single" w:sz="6" w:space="11" w:color="AAAAAA"/>
                <w:bottom w:val="single" w:sz="6" w:space="4" w:color="AAAAAA"/>
                <w:right w:val="single" w:sz="6" w:space="11" w:color="AAAAAA"/>
              </w:divBdr>
            </w:div>
          </w:divsChild>
        </w:div>
        <w:div w:id="1161970340">
          <w:marLeft w:val="0"/>
          <w:marRight w:val="0"/>
          <w:marTop w:val="0"/>
          <w:marBottom w:val="0"/>
          <w:divBdr>
            <w:top w:val="none" w:sz="0" w:space="0" w:color="auto"/>
            <w:left w:val="none" w:sz="0" w:space="0" w:color="auto"/>
            <w:bottom w:val="none" w:sz="0" w:space="0" w:color="auto"/>
            <w:right w:val="none" w:sz="0" w:space="0" w:color="auto"/>
          </w:divBdr>
          <w:divsChild>
            <w:div w:id="24260666">
              <w:marLeft w:val="0"/>
              <w:marRight w:val="0"/>
              <w:marTop w:val="150"/>
              <w:marBottom w:val="150"/>
              <w:divBdr>
                <w:top w:val="single" w:sz="6" w:space="4" w:color="AAAAAA"/>
                <w:left w:val="single" w:sz="6" w:space="11" w:color="AAAAAA"/>
                <w:bottom w:val="single" w:sz="6" w:space="4" w:color="AAAAAA"/>
                <w:right w:val="single" w:sz="6" w:space="11" w:color="AAAAAA"/>
              </w:divBdr>
            </w:div>
          </w:divsChild>
        </w:div>
        <w:div w:id="1905992720">
          <w:marLeft w:val="0"/>
          <w:marRight w:val="0"/>
          <w:marTop w:val="0"/>
          <w:marBottom w:val="0"/>
          <w:divBdr>
            <w:top w:val="none" w:sz="0" w:space="0" w:color="auto"/>
            <w:left w:val="none" w:sz="0" w:space="0" w:color="auto"/>
            <w:bottom w:val="none" w:sz="0" w:space="0" w:color="auto"/>
            <w:right w:val="none" w:sz="0" w:space="0" w:color="auto"/>
          </w:divBdr>
          <w:divsChild>
            <w:div w:id="1277640007">
              <w:marLeft w:val="0"/>
              <w:marRight w:val="0"/>
              <w:marTop w:val="150"/>
              <w:marBottom w:val="150"/>
              <w:divBdr>
                <w:top w:val="single" w:sz="6" w:space="4" w:color="AAAAAA"/>
                <w:left w:val="single" w:sz="6" w:space="11" w:color="AAAAAA"/>
                <w:bottom w:val="single" w:sz="6" w:space="4" w:color="AAAAAA"/>
                <w:right w:val="single" w:sz="6" w:space="11" w:color="AAAAAA"/>
              </w:divBdr>
            </w:div>
          </w:divsChild>
        </w:div>
        <w:div w:id="1191795666">
          <w:marLeft w:val="0"/>
          <w:marRight w:val="0"/>
          <w:marTop w:val="0"/>
          <w:marBottom w:val="0"/>
          <w:divBdr>
            <w:top w:val="none" w:sz="0" w:space="0" w:color="auto"/>
            <w:left w:val="none" w:sz="0" w:space="0" w:color="auto"/>
            <w:bottom w:val="none" w:sz="0" w:space="0" w:color="auto"/>
            <w:right w:val="none" w:sz="0" w:space="0" w:color="auto"/>
          </w:divBdr>
          <w:divsChild>
            <w:div w:id="1335839187">
              <w:marLeft w:val="0"/>
              <w:marRight w:val="0"/>
              <w:marTop w:val="150"/>
              <w:marBottom w:val="150"/>
              <w:divBdr>
                <w:top w:val="single" w:sz="6" w:space="4" w:color="AAAAAA"/>
                <w:left w:val="single" w:sz="6" w:space="11" w:color="AAAAAA"/>
                <w:bottom w:val="single" w:sz="6" w:space="4" w:color="AAAAAA"/>
                <w:right w:val="single" w:sz="6" w:space="11" w:color="AAAAAA"/>
              </w:divBdr>
            </w:div>
          </w:divsChild>
        </w:div>
        <w:div w:id="306861871">
          <w:marLeft w:val="0"/>
          <w:marRight w:val="0"/>
          <w:marTop w:val="0"/>
          <w:marBottom w:val="0"/>
          <w:divBdr>
            <w:top w:val="none" w:sz="0" w:space="0" w:color="auto"/>
            <w:left w:val="none" w:sz="0" w:space="0" w:color="auto"/>
            <w:bottom w:val="none" w:sz="0" w:space="0" w:color="auto"/>
            <w:right w:val="none" w:sz="0" w:space="0" w:color="auto"/>
          </w:divBdr>
          <w:divsChild>
            <w:div w:id="1976987953">
              <w:marLeft w:val="0"/>
              <w:marRight w:val="0"/>
              <w:marTop w:val="150"/>
              <w:marBottom w:val="150"/>
              <w:divBdr>
                <w:top w:val="single" w:sz="6" w:space="4" w:color="AAAAAA"/>
                <w:left w:val="single" w:sz="6" w:space="11" w:color="AAAAAA"/>
                <w:bottom w:val="single" w:sz="6" w:space="4" w:color="AAAAAA"/>
                <w:right w:val="single" w:sz="6" w:space="11" w:color="AAAAAA"/>
              </w:divBdr>
            </w:div>
          </w:divsChild>
        </w:div>
        <w:div w:id="1123886546">
          <w:marLeft w:val="0"/>
          <w:marRight w:val="0"/>
          <w:marTop w:val="0"/>
          <w:marBottom w:val="0"/>
          <w:divBdr>
            <w:top w:val="none" w:sz="0" w:space="0" w:color="auto"/>
            <w:left w:val="none" w:sz="0" w:space="0" w:color="auto"/>
            <w:bottom w:val="none" w:sz="0" w:space="0" w:color="auto"/>
            <w:right w:val="none" w:sz="0" w:space="0" w:color="auto"/>
          </w:divBdr>
          <w:divsChild>
            <w:div w:id="601960033">
              <w:marLeft w:val="0"/>
              <w:marRight w:val="0"/>
              <w:marTop w:val="150"/>
              <w:marBottom w:val="150"/>
              <w:divBdr>
                <w:top w:val="single" w:sz="6" w:space="4" w:color="AAAAAA"/>
                <w:left w:val="single" w:sz="6" w:space="11" w:color="AAAAAA"/>
                <w:bottom w:val="single" w:sz="6" w:space="4" w:color="AAAAAA"/>
                <w:right w:val="single" w:sz="6" w:space="11" w:color="AAAAAA"/>
              </w:divBdr>
            </w:div>
          </w:divsChild>
        </w:div>
        <w:div w:id="1593856074">
          <w:marLeft w:val="0"/>
          <w:marRight w:val="0"/>
          <w:marTop w:val="0"/>
          <w:marBottom w:val="0"/>
          <w:divBdr>
            <w:top w:val="none" w:sz="0" w:space="0" w:color="auto"/>
            <w:left w:val="none" w:sz="0" w:space="0" w:color="auto"/>
            <w:bottom w:val="none" w:sz="0" w:space="0" w:color="auto"/>
            <w:right w:val="none" w:sz="0" w:space="0" w:color="auto"/>
          </w:divBdr>
          <w:divsChild>
            <w:div w:id="92897175">
              <w:marLeft w:val="0"/>
              <w:marRight w:val="0"/>
              <w:marTop w:val="150"/>
              <w:marBottom w:val="150"/>
              <w:divBdr>
                <w:top w:val="single" w:sz="6" w:space="4" w:color="AAAAAA"/>
                <w:left w:val="single" w:sz="6" w:space="11" w:color="AAAAAA"/>
                <w:bottom w:val="single" w:sz="6" w:space="4" w:color="AAAAAA"/>
                <w:right w:val="single" w:sz="6" w:space="11" w:color="AAAAAA"/>
              </w:divBdr>
            </w:div>
          </w:divsChild>
        </w:div>
      </w:divsChild>
    </w:div>
    <w:div w:id="16403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essex.ac.uk/records_management/policies/sm_policy.aspx" TargetMode="External"/><Relationship Id="rId13" Type="http://schemas.openxmlformats.org/officeDocument/2006/relationships/hyperlink" Target="https://www1.essex.ac.uk/records_management/policies/default.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1.essex.ac.uk/records_management/policies/sm_policy.aspx" TargetMode="External"/><Relationship Id="rId12" Type="http://schemas.openxmlformats.org/officeDocument/2006/relationships/hyperlink" Target="https://www1.essex.ac.uk/records_management/policies/sm_policy.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1.essex.ac.uk/records_management/contact/default.aspx" TargetMode="External"/><Relationship Id="rId1" Type="http://schemas.openxmlformats.org/officeDocument/2006/relationships/numbering" Target="numbering.xml"/><Relationship Id="rId6" Type="http://schemas.openxmlformats.org/officeDocument/2006/relationships/hyperlink" Target="https://www1.essex.ac.uk/records_management/policies/sm_policy.aspx" TargetMode="External"/><Relationship Id="rId11" Type="http://schemas.openxmlformats.org/officeDocument/2006/relationships/hyperlink" Target="https://www1.essex.ac.uk/records_management/policies/sm_policy.aspx" TargetMode="External"/><Relationship Id="rId5" Type="http://schemas.openxmlformats.org/officeDocument/2006/relationships/webSettings" Target="webSettings.xml"/><Relationship Id="rId15" Type="http://schemas.openxmlformats.org/officeDocument/2006/relationships/hyperlink" Target="https://www1.essex.ac.uk/records_management/help/training.aspx" TargetMode="External"/><Relationship Id="rId10" Type="http://schemas.openxmlformats.org/officeDocument/2006/relationships/hyperlink" Target="https://www1.essex.ac.uk/records_management/policies/sm_policy.aspx" TargetMode="External"/><Relationship Id="rId4" Type="http://schemas.openxmlformats.org/officeDocument/2006/relationships/settings" Target="settings.xml"/><Relationship Id="rId9" Type="http://schemas.openxmlformats.org/officeDocument/2006/relationships/hyperlink" Target="https://www1.essex.ac.uk/records_management/policies/sm_policy.aspx" TargetMode="External"/><Relationship Id="rId14" Type="http://schemas.openxmlformats.org/officeDocument/2006/relationships/hyperlink" Target="https://www1.essex.ac.uk/records_management/help/rm_networ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Darren</dc:creator>
  <cp:lastModifiedBy>David, Darren</cp:lastModifiedBy>
  <cp:revision>1</cp:revision>
  <dcterms:created xsi:type="dcterms:W3CDTF">2019-01-17T16:07:00Z</dcterms:created>
  <dcterms:modified xsi:type="dcterms:W3CDTF">2019-01-17T16:08:00Z</dcterms:modified>
</cp:coreProperties>
</file>