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7D8F" w14:textId="4949D6D5" w:rsidR="00D6483B" w:rsidRPr="00C447D8" w:rsidRDefault="00C447D8" w:rsidP="00C447D8">
      <w:pPr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C447D8">
        <w:rPr>
          <w:rFonts w:ascii="Arial" w:hAnsi="Arial" w:cs="Arial"/>
          <w:sz w:val="48"/>
          <w:szCs w:val="48"/>
        </w:rPr>
        <w:t xml:space="preserve">New </w:t>
      </w:r>
      <w:r w:rsidR="00CD740B">
        <w:rPr>
          <w:rFonts w:ascii="Arial" w:hAnsi="Arial" w:cs="Arial"/>
          <w:sz w:val="48"/>
          <w:szCs w:val="48"/>
        </w:rPr>
        <w:t>employee</w:t>
      </w:r>
      <w:r w:rsidRPr="00C447D8">
        <w:rPr>
          <w:rFonts w:ascii="Arial" w:hAnsi="Arial" w:cs="Arial"/>
          <w:sz w:val="48"/>
          <w:szCs w:val="48"/>
        </w:rPr>
        <w:t xml:space="preserve"> vacancy checklist</w:t>
      </w:r>
    </w:p>
    <w:p w14:paraId="63A59A3C" w14:textId="77777777" w:rsidR="00C447D8" w:rsidRDefault="00C447D8" w:rsidP="00C4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1ACDFB" w14:textId="77777777" w:rsidR="00BD5EBB" w:rsidRPr="00C447D8" w:rsidRDefault="00BD5EBB" w:rsidP="00C4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65CFC63" w14:textId="77777777" w:rsidR="00C447D8" w:rsidRDefault="00C447D8" w:rsidP="00C447D8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</w:rPr>
      </w:pPr>
      <w:r w:rsidRPr="00C447D8">
        <w:rPr>
          <w:rFonts w:ascii="Arial" w:hAnsi="Arial" w:cs="Arial"/>
          <w:i/>
          <w:color w:val="333333"/>
          <w:sz w:val="20"/>
          <w:szCs w:val="20"/>
        </w:rPr>
        <w:t xml:space="preserve">A vacancy arises either when an existing job holder moves on or when a new post has been approved. These are the things </w:t>
      </w:r>
      <w:r w:rsidR="00AE7552">
        <w:rPr>
          <w:rFonts w:ascii="Arial" w:hAnsi="Arial" w:cs="Arial"/>
          <w:i/>
          <w:color w:val="333333"/>
          <w:sz w:val="20"/>
          <w:szCs w:val="20"/>
        </w:rPr>
        <w:t xml:space="preserve">the hiring manager </w:t>
      </w:r>
      <w:r w:rsidRPr="00C447D8">
        <w:rPr>
          <w:rFonts w:ascii="Arial" w:hAnsi="Arial" w:cs="Arial"/>
          <w:i/>
          <w:color w:val="333333"/>
          <w:sz w:val="20"/>
          <w:szCs w:val="20"/>
        </w:rPr>
        <w:t xml:space="preserve">should consider before advertising </w:t>
      </w:r>
      <w:r w:rsidR="00AE7552">
        <w:rPr>
          <w:rFonts w:ascii="Arial" w:hAnsi="Arial" w:cs="Arial"/>
          <w:i/>
          <w:color w:val="333333"/>
          <w:sz w:val="20"/>
          <w:szCs w:val="20"/>
        </w:rPr>
        <w:t>their</w:t>
      </w:r>
      <w:r w:rsidRPr="00C447D8">
        <w:rPr>
          <w:rFonts w:ascii="Arial" w:hAnsi="Arial" w:cs="Arial"/>
          <w:i/>
          <w:color w:val="333333"/>
          <w:sz w:val="20"/>
          <w:szCs w:val="20"/>
        </w:rPr>
        <w:t xml:space="preserve"> vacancy. </w:t>
      </w:r>
    </w:p>
    <w:p w14:paraId="084B3284" w14:textId="77777777" w:rsidR="00BD5EBB" w:rsidRPr="00C447D8" w:rsidRDefault="00BD5EBB" w:rsidP="00C447D8">
      <w:pPr>
        <w:spacing w:after="0" w:line="240" w:lineRule="auto"/>
        <w:jc w:val="center"/>
        <w:rPr>
          <w:rFonts w:ascii="Arial" w:hAnsi="Arial" w:cs="Arial"/>
          <w:i/>
          <w:color w:val="333333"/>
          <w:sz w:val="20"/>
          <w:szCs w:val="20"/>
        </w:rPr>
      </w:pPr>
    </w:p>
    <w:p w14:paraId="47DDAF8B" w14:textId="77777777" w:rsidR="00C447D8" w:rsidRDefault="00C447D8" w:rsidP="00C447D8">
      <w:pPr>
        <w:spacing w:after="0" w:line="240" w:lineRule="auto"/>
        <w:jc w:val="center"/>
        <w:rPr>
          <w:rFonts w:ascii="Arial" w:hAnsi="Arial" w:cs="Arial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5221"/>
        <w:gridCol w:w="1333"/>
      </w:tblGrid>
      <w:tr w:rsidR="00C447D8" w14:paraId="2D693252" w14:textId="77777777" w:rsidTr="00C447D8">
        <w:tc>
          <w:tcPr>
            <w:tcW w:w="2518" w:type="dxa"/>
          </w:tcPr>
          <w:p w14:paraId="1EA44D2D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7D8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5387" w:type="dxa"/>
          </w:tcPr>
          <w:p w14:paraId="20317D7C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337" w:type="dxa"/>
          </w:tcPr>
          <w:p w14:paraId="25A7B220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47D8">
              <w:rPr>
                <w:rFonts w:ascii="Arial" w:hAnsi="Arial" w:cs="Arial"/>
                <w:b/>
                <w:sz w:val="20"/>
                <w:szCs w:val="20"/>
              </w:rPr>
              <w:t>Complete?</w:t>
            </w:r>
          </w:p>
        </w:tc>
      </w:tr>
      <w:tr w:rsidR="00C447D8" w14:paraId="523FCD4F" w14:textId="77777777" w:rsidTr="00C447D8">
        <w:tc>
          <w:tcPr>
            <w:tcW w:w="2518" w:type="dxa"/>
          </w:tcPr>
          <w:p w14:paraId="37BC2C36" w14:textId="6A8CAD83" w:rsidR="00C447D8" w:rsidRPr="00C447D8" w:rsidRDefault="00C447D8" w:rsidP="00AE755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Make contact with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AE7552">
              <w:rPr>
                <w:rFonts w:ascii="Arial" w:hAnsi="Arial" w:cs="Arial"/>
                <w:color w:val="333333"/>
                <w:sz w:val="20"/>
                <w:szCs w:val="20"/>
              </w:rPr>
              <w:t xml:space="preserve">the </w:t>
            </w:r>
            <w:hyperlink r:id="rId5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Resourcing Adviser</w:t>
              </w:r>
            </w:hyperlink>
          </w:p>
        </w:tc>
        <w:tc>
          <w:tcPr>
            <w:tcW w:w="5387" w:type="dxa"/>
          </w:tcPr>
          <w:p w14:paraId="48F8E4D7" w14:textId="77777777" w:rsidR="00C447D8" w:rsidRPr="00C447D8" w:rsidRDefault="00AE7552" w:rsidP="00AE755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The</w:t>
            </w:r>
            <w:r w:rsidR="00BD5EBB">
              <w:rPr>
                <w:rFonts w:ascii="Arial" w:hAnsi="Arial" w:cs="Arial"/>
                <w:color w:val="333333"/>
                <w:sz w:val="20"/>
                <w:szCs w:val="20"/>
              </w:rPr>
              <w:t xml:space="preserve"> Resourcing Adviser will be able to confirm timescales and provide any guidance and support throughout the whole recruitment process. </w:t>
            </w:r>
          </w:p>
        </w:tc>
        <w:tc>
          <w:tcPr>
            <w:tcW w:w="1337" w:type="dxa"/>
          </w:tcPr>
          <w:p w14:paraId="0F6FE20D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5C87F6E8" w14:textId="77777777" w:rsidTr="00C447D8">
        <w:tc>
          <w:tcPr>
            <w:tcW w:w="2518" w:type="dxa"/>
          </w:tcPr>
          <w:p w14:paraId="74B43F90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Review the existing role</w:t>
            </w:r>
          </w:p>
        </w:tc>
        <w:tc>
          <w:tcPr>
            <w:tcW w:w="5387" w:type="dxa"/>
          </w:tcPr>
          <w:p w14:paraId="41F77EC8" w14:textId="57313D8A" w:rsidR="00C447D8" w:rsidRPr="00C447D8" w:rsidRDefault="00C447D8" w:rsidP="00C447D8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If a vacancy arises due to a</w:t>
            </w:r>
            <w:r w:rsidR="00CD740B">
              <w:rPr>
                <w:rFonts w:ascii="Arial" w:hAnsi="Arial" w:cs="Arial"/>
                <w:color w:val="333333"/>
                <w:sz w:val="20"/>
                <w:szCs w:val="20"/>
              </w:rPr>
              <w:t>n employee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 member leaving, it is good practice to review the existing role, the needs of the service and other factors in the first instance. It is a good opportunity to make changes such as re-distribution of work or to review roles/team structures.</w:t>
            </w:r>
          </w:p>
        </w:tc>
        <w:tc>
          <w:tcPr>
            <w:tcW w:w="1337" w:type="dxa"/>
          </w:tcPr>
          <w:p w14:paraId="4EC7A814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1889C31F" w14:textId="77777777" w:rsidTr="00C447D8">
        <w:tc>
          <w:tcPr>
            <w:tcW w:w="2518" w:type="dxa"/>
          </w:tcPr>
          <w:p w14:paraId="671814D8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HERA</w:t>
            </w:r>
          </w:p>
        </w:tc>
        <w:tc>
          <w:tcPr>
            <w:tcW w:w="5387" w:type="dxa"/>
          </w:tcPr>
          <w:p w14:paraId="21E49842" w14:textId="77777777" w:rsidR="00C447D8" w:rsidRPr="00C447D8" w:rsidRDefault="00C447D8" w:rsidP="00AE7552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If the decision results in recruitment to the vacancy, at this point the hiring manager should re-visit the job description to make sure that it is a true reflection of the role. If substantial changes are to be made to the post, or it is a new post, it will need to go through the Higher Education Role Analysis (</w:t>
            </w:r>
            <w:hyperlink r:id="rId6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HERA</w:t>
              </w:r>
            </w:hyperlink>
            <w:r w:rsidR="00AE7552">
              <w:rPr>
                <w:rFonts w:ascii="Arial" w:hAnsi="Arial" w:cs="Arial"/>
                <w:color w:val="333333"/>
                <w:sz w:val="20"/>
                <w:szCs w:val="20"/>
              </w:rPr>
              <w:t>) process. Contact the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hyperlink r:id="rId7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Senior Employee Relations Adviser</w:t>
              </w:r>
            </w:hyperlink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 for advice. Academic posts should be evaluated by reference to the national role profiles, so there is no requirement to undertake HERA evaluation for these posts.</w:t>
            </w:r>
          </w:p>
        </w:tc>
        <w:tc>
          <w:tcPr>
            <w:tcW w:w="1337" w:type="dxa"/>
          </w:tcPr>
          <w:p w14:paraId="59B1E422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7E6A55A5" w14:textId="77777777" w:rsidTr="00C447D8">
        <w:tc>
          <w:tcPr>
            <w:tcW w:w="2518" w:type="dxa"/>
          </w:tcPr>
          <w:p w14:paraId="780F3CC6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Funding Approval</w:t>
            </w:r>
          </w:p>
        </w:tc>
        <w:tc>
          <w:tcPr>
            <w:tcW w:w="5387" w:type="dxa"/>
          </w:tcPr>
          <w:p w14:paraId="7B9B60D3" w14:textId="77777777" w:rsidR="00C447D8" w:rsidRPr="00C447D8" w:rsidRDefault="00C447D8" w:rsidP="0087714D">
            <w:pPr>
              <w:tabs>
                <w:tab w:val="left" w:pos="645"/>
              </w:tabs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The hiring manager is responsible for ensuring that the appropriate permission to recruit is in place using the online approval system through </w:t>
            </w:r>
            <w:r w:rsidR="0087714D">
              <w:rPr>
                <w:rFonts w:ascii="Arial" w:hAnsi="Arial" w:cs="Arial"/>
                <w:color w:val="333333"/>
                <w:sz w:val="20"/>
                <w:szCs w:val="20"/>
              </w:rPr>
              <w:t xml:space="preserve">Unit 4 (formerly 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Agresso</w:t>
            </w:r>
            <w:r w:rsidR="0087714D">
              <w:rPr>
                <w:rFonts w:ascii="Arial" w:hAnsi="Arial" w:cs="Arial"/>
                <w:color w:val="333333"/>
                <w:sz w:val="20"/>
                <w:szCs w:val="20"/>
              </w:rPr>
              <w:t>)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. Full details of the approval process are available in the </w:t>
            </w:r>
            <w:r w:rsidR="0087714D">
              <w:t xml:space="preserve">relevant </w:t>
            </w:r>
            <w:hyperlink r:id="rId8" w:history="1">
              <w:r w:rsidR="0087714D" w:rsidRPr="0087714D">
                <w:rPr>
                  <w:rStyle w:val="Hyperlink"/>
                </w:rPr>
                <w:t>guide</w:t>
              </w:r>
            </w:hyperlink>
            <w:r w:rsidR="0087714D">
              <w:t>.</w:t>
            </w:r>
          </w:p>
        </w:tc>
        <w:tc>
          <w:tcPr>
            <w:tcW w:w="1337" w:type="dxa"/>
          </w:tcPr>
          <w:p w14:paraId="12DE8A3F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6E3F9EAD" w14:textId="77777777" w:rsidTr="00C447D8">
        <w:tc>
          <w:tcPr>
            <w:tcW w:w="2518" w:type="dxa"/>
          </w:tcPr>
          <w:p w14:paraId="50649513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Re-deployment</w:t>
            </w:r>
          </w:p>
        </w:tc>
        <w:tc>
          <w:tcPr>
            <w:tcW w:w="5387" w:type="dxa"/>
          </w:tcPr>
          <w:p w14:paraId="3DB7D6BD" w14:textId="77777777" w:rsidR="00C447D8" w:rsidRPr="00C447D8" w:rsidRDefault="00C447D8" w:rsidP="00C447D8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The hiring manager should consider if there is a suitable candidate amongst existing employees seeking redeployment. </w:t>
            </w:r>
            <w:hyperlink r:id="rId9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Senior Employee Relations Advisers</w:t>
              </w:r>
            </w:hyperlink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 are notified of all new posts that are approved and will contact the hiring manager if there is anyone in the redeployment pool who should be considered for the vacancy.</w:t>
            </w:r>
          </w:p>
        </w:tc>
        <w:tc>
          <w:tcPr>
            <w:tcW w:w="1337" w:type="dxa"/>
          </w:tcPr>
          <w:p w14:paraId="50B5EC86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33C51BFB" w14:textId="77777777" w:rsidTr="00C447D8">
        <w:tc>
          <w:tcPr>
            <w:tcW w:w="2518" w:type="dxa"/>
          </w:tcPr>
          <w:p w14:paraId="19B7566D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Flexible working</w:t>
            </w:r>
          </w:p>
        </w:tc>
        <w:tc>
          <w:tcPr>
            <w:tcW w:w="5387" w:type="dxa"/>
          </w:tcPr>
          <w:p w14:paraId="297B4594" w14:textId="77777777" w:rsidR="00C447D8" w:rsidRPr="00C447D8" w:rsidRDefault="00C447D8" w:rsidP="0087714D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Consideration should be given to whether the post could be advertised on a flexible basis e.g. as part-time or as a job share. See the </w:t>
            </w:r>
            <w:hyperlink r:id="rId10" w:history="1">
              <w:r w:rsidR="0087714D" w:rsidRPr="0087714D">
                <w:rPr>
                  <w:rStyle w:val="Hyperlink"/>
                </w:rPr>
                <w:t>Staff Directory article</w:t>
              </w:r>
            </w:hyperlink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 for more information about flexible working arrangements.</w:t>
            </w:r>
          </w:p>
        </w:tc>
        <w:tc>
          <w:tcPr>
            <w:tcW w:w="1337" w:type="dxa"/>
          </w:tcPr>
          <w:p w14:paraId="7928F828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5928B637" w14:textId="77777777" w:rsidTr="00C447D8">
        <w:tc>
          <w:tcPr>
            <w:tcW w:w="2518" w:type="dxa"/>
          </w:tcPr>
          <w:p w14:paraId="2BCF32FE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Equality and Diversity</w:t>
            </w:r>
          </w:p>
        </w:tc>
        <w:tc>
          <w:tcPr>
            <w:tcW w:w="5387" w:type="dxa"/>
          </w:tcPr>
          <w:p w14:paraId="46E406B3" w14:textId="77777777" w:rsidR="00C447D8" w:rsidRPr="00C447D8" w:rsidRDefault="00C447D8" w:rsidP="00C447D8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The hiring manager should also assess the equality and diversity data for the department and consult the </w:t>
            </w:r>
            <w:hyperlink r:id="rId11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Resourcing Adviser</w:t>
              </w:r>
            </w:hyperlink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 about whether any relevant positive action statements are necessary.</w:t>
            </w:r>
          </w:p>
        </w:tc>
        <w:tc>
          <w:tcPr>
            <w:tcW w:w="1337" w:type="dxa"/>
          </w:tcPr>
          <w:p w14:paraId="34E1E55B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67FF3381" w14:textId="77777777" w:rsidTr="00C447D8">
        <w:tc>
          <w:tcPr>
            <w:tcW w:w="2518" w:type="dxa"/>
          </w:tcPr>
          <w:p w14:paraId="09E333E0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Market Supplement</w:t>
            </w:r>
          </w:p>
        </w:tc>
        <w:tc>
          <w:tcPr>
            <w:tcW w:w="5387" w:type="dxa"/>
          </w:tcPr>
          <w:p w14:paraId="6C49CE52" w14:textId="77777777" w:rsidR="00C447D8" w:rsidRPr="00C447D8" w:rsidRDefault="00C447D8" w:rsidP="0087714D">
            <w:pPr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The hiring manager should at this point consider whether any exceptional circumstances apply and a </w:t>
            </w:r>
            <w:hyperlink r:id="rId12" w:history="1">
              <w:r w:rsidRPr="00C447D8">
                <w:rPr>
                  <w:rStyle w:val="Hyperlink"/>
                  <w:rFonts w:ascii="Arial" w:hAnsi="Arial" w:cs="Arial"/>
                  <w:sz w:val="20"/>
                  <w:szCs w:val="20"/>
                </w:rPr>
                <w:t>market supplement</w:t>
              </w:r>
            </w:hyperlink>
            <w:r w:rsidR="0087714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 xml:space="preserve">might </w:t>
            </w:r>
            <w:r w:rsidR="0087714D">
              <w:rPr>
                <w:rFonts w:ascii="Arial" w:hAnsi="Arial" w:cs="Arial"/>
                <w:color w:val="333333"/>
                <w:sz w:val="20"/>
                <w:szCs w:val="20"/>
              </w:rPr>
              <w:t xml:space="preserve">therefore </w:t>
            </w: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be necessary.</w:t>
            </w:r>
          </w:p>
        </w:tc>
        <w:tc>
          <w:tcPr>
            <w:tcW w:w="1337" w:type="dxa"/>
          </w:tcPr>
          <w:p w14:paraId="667D1799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7D8" w14:paraId="304C4803" w14:textId="77777777" w:rsidTr="00C447D8">
        <w:tc>
          <w:tcPr>
            <w:tcW w:w="2518" w:type="dxa"/>
          </w:tcPr>
          <w:p w14:paraId="4467BD6C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7D8">
              <w:rPr>
                <w:rFonts w:ascii="Arial" w:hAnsi="Arial" w:cs="Arial"/>
                <w:sz w:val="20"/>
                <w:szCs w:val="20"/>
              </w:rPr>
              <w:t>Further reading</w:t>
            </w:r>
          </w:p>
        </w:tc>
        <w:tc>
          <w:tcPr>
            <w:tcW w:w="5387" w:type="dxa"/>
          </w:tcPr>
          <w:p w14:paraId="5ADA9EBE" w14:textId="77777777" w:rsidR="00C447D8" w:rsidRPr="00C447D8" w:rsidRDefault="00C447D8" w:rsidP="00C447D8">
            <w:pPr>
              <w:numPr>
                <w:ilvl w:val="0"/>
                <w:numId w:val="1"/>
              </w:numPr>
              <w:spacing w:before="100" w:beforeAutospacing="1" w:after="100" w:afterAutospacing="1"/>
              <w:ind w:left="4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C447D8">
              <w:rPr>
                <w:rFonts w:ascii="Arial" w:hAnsi="Arial" w:cs="Arial"/>
                <w:color w:val="333333"/>
                <w:sz w:val="20"/>
                <w:szCs w:val="20"/>
              </w:rPr>
              <w:t>Resourcing for the future: Guidance and Framework</w:t>
            </w:r>
          </w:p>
          <w:p w14:paraId="1008B5F2" w14:textId="77777777" w:rsidR="00C447D8" w:rsidRPr="00C447D8" w:rsidRDefault="006345CD" w:rsidP="00C447D8">
            <w:pPr>
              <w:numPr>
                <w:ilvl w:val="0"/>
                <w:numId w:val="1"/>
              </w:numPr>
              <w:spacing w:before="100" w:beforeAutospacing="1" w:after="100" w:afterAutospacing="1"/>
              <w:ind w:left="4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hyperlink r:id="rId13" w:history="1">
              <w:r w:rsidR="00C447D8" w:rsidRPr="00C447D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Requesting Permission to Recruit</w:t>
              </w:r>
            </w:hyperlink>
          </w:p>
          <w:p w14:paraId="3938AD00" w14:textId="77777777" w:rsidR="00C447D8" w:rsidRPr="00C447D8" w:rsidRDefault="006345CD" w:rsidP="00BD5EBB">
            <w:pPr>
              <w:numPr>
                <w:ilvl w:val="0"/>
                <w:numId w:val="1"/>
              </w:numPr>
              <w:spacing w:before="100" w:beforeAutospacing="1" w:after="100" w:afterAutospacing="1"/>
              <w:ind w:left="4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447D8" w:rsidRPr="00C447D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Creating the job description and person specification</w:t>
              </w:r>
            </w:hyperlink>
          </w:p>
        </w:tc>
        <w:tc>
          <w:tcPr>
            <w:tcW w:w="1337" w:type="dxa"/>
          </w:tcPr>
          <w:p w14:paraId="4E51B9A8" w14:textId="77777777" w:rsidR="00C447D8" w:rsidRPr="00C447D8" w:rsidRDefault="00C447D8" w:rsidP="00C4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356BB" w14:textId="77777777" w:rsidR="00C447D8" w:rsidRPr="00C447D8" w:rsidRDefault="00C447D8" w:rsidP="00C447D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C447D8" w:rsidRPr="00C44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CE4"/>
    <w:multiLevelType w:val="multilevel"/>
    <w:tmpl w:val="D9E6D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1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D8"/>
    <w:rsid w:val="00393775"/>
    <w:rsid w:val="00414A8E"/>
    <w:rsid w:val="00431AE8"/>
    <w:rsid w:val="006345CD"/>
    <w:rsid w:val="007A718D"/>
    <w:rsid w:val="0087714D"/>
    <w:rsid w:val="009A71BB"/>
    <w:rsid w:val="00A46565"/>
    <w:rsid w:val="00AE7552"/>
    <w:rsid w:val="00BA1035"/>
    <w:rsid w:val="00BD5EBB"/>
    <w:rsid w:val="00C447D8"/>
    <w:rsid w:val="00CD740B"/>
    <w:rsid w:val="00D6483B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85FE1"/>
  <w15:docId w15:val="{2F6678E6-2EB5-4009-9BE6-6D807E92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7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1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D7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22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recruiting-staff/recruitment-guidance-and-resources" TargetMode="External"/><Relationship Id="rId13" Type="http://schemas.openxmlformats.org/officeDocument/2006/relationships/hyperlink" Target="https://www.essex.ac.uk/staff/recruiting-staff/requesting-permission-to-recru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staff/professional-services/employee-relations-operations-team" TargetMode="External"/><Relationship Id="rId12" Type="http://schemas.openxmlformats.org/officeDocument/2006/relationships/hyperlink" Target="https://www.essex.ac.uk/-/media/documents/directories/human-resources/market-supplements-policy.pdf?la=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ssex.ac.uk/staff/grading-and-reviews/job-evaluation" TargetMode="External"/><Relationship Id="rId11" Type="http://schemas.openxmlformats.org/officeDocument/2006/relationships/hyperlink" Target="https://www.essex.ac.uk/staff/professional-services/hr-resourcing-team" TargetMode="External"/><Relationship Id="rId5" Type="http://schemas.openxmlformats.org/officeDocument/2006/relationships/hyperlink" Target="https://www.essex.ac.uk/staff/professional-services/hr-resourcing-tea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ssex.ac.uk/staff/employment-policies-procedures/flexible-wor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taff/professional-services/employee-relations-operations-team" TargetMode="External"/><Relationship Id="rId14" Type="http://schemas.openxmlformats.org/officeDocument/2006/relationships/hyperlink" Target="https://www.essex.ac.uk/staff/recruiting-staff/creating-the-job-description-and-person-specif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Mandy G</dc:creator>
  <cp:lastModifiedBy>Winstanley, Megan Y</cp:lastModifiedBy>
  <cp:revision>2</cp:revision>
  <dcterms:created xsi:type="dcterms:W3CDTF">2024-11-26T15:05:00Z</dcterms:created>
  <dcterms:modified xsi:type="dcterms:W3CDTF">2024-11-26T15:05:00Z</dcterms:modified>
</cp:coreProperties>
</file>