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8E051" w14:textId="77777777" w:rsidR="0053285C" w:rsidRDefault="006D7E11" w:rsidP="0053285C">
      <w:pPr>
        <w:spacing w:after="0" w:line="240" w:lineRule="auto"/>
        <w:jc w:val="center"/>
        <w:rPr>
          <w:rFonts w:ascii="Arial" w:hAnsi="Arial" w:cs="Arial"/>
          <w:b/>
        </w:rPr>
      </w:pPr>
      <w:r w:rsidRPr="0064193A">
        <w:rPr>
          <w:rFonts w:ascii="Arial" w:hAnsi="Arial" w:cs="Arial"/>
          <w:b/>
        </w:rPr>
        <w:t>Annual Review - Increments and Bonuses</w:t>
      </w:r>
    </w:p>
    <w:p w14:paraId="1421B34A" w14:textId="77777777" w:rsidR="00512B7E" w:rsidRDefault="00512B7E" w:rsidP="0053285C">
      <w:pPr>
        <w:spacing w:after="0" w:line="240" w:lineRule="auto"/>
        <w:jc w:val="center"/>
        <w:rPr>
          <w:rFonts w:ascii="Arial" w:hAnsi="Arial" w:cs="Arial"/>
          <w:b/>
        </w:rPr>
      </w:pPr>
      <w:r>
        <w:rPr>
          <w:rFonts w:ascii="Arial" w:hAnsi="Arial" w:cs="Arial"/>
          <w:b/>
        </w:rPr>
        <w:t xml:space="preserve">Academic Staff, Grades 7 to 10. </w:t>
      </w:r>
    </w:p>
    <w:p w14:paraId="672A6659" w14:textId="77777777" w:rsidR="00DB31F6" w:rsidRDefault="00DB31F6">
      <w:pPr>
        <w:rPr>
          <w:rFonts w:ascii="Arial" w:hAnsi="Arial" w:cs="Arial"/>
          <w:b/>
        </w:rPr>
      </w:pPr>
    </w:p>
    <w:p w14:paraId="4D1595B4" w14:textId="65BE682E" w:rsidR="00DB31F6" w:rsidRDefault="086155DE">
      <w:pPr>
        <w:rPr>
          <w:rFonts w:ascii="Arial" w:hAnsi="Arial" w:cs="Arial"/>
        </w:rPr>
      </w:pPr>
      <w:r w:rsidRPr="086155DE">
        <w:rPr>
          <w:rFonts w:ascii="Arial" w:hAnsi="Arial" w:cs="Arial"/>
        </w:rPr>
        <w:t xml:space="preserve">I am writing to invite applications for annual review of academic staff </w:t>
      </w:r>
      <w:r w:rsidR="00CB16B5">
        <w:rPr>
          <w:rFonts w:ascii="Arial" w:hAnsi="Arial" w:cs="Arial"/>
        </w:rPr>
        <w:t xml:space="preserve">Grade 7-10 </w:t>
      </w:r>
      <w:r w:rsidRPr="086155DE">
        <w:rPr>
          <w:rFonts w:ascii="Arial" w:hAnsi="Arial" w:cs="Arial"/>
        </w:rPr>
        <w:t xml:space="preserve">salaries and bonuses.  </w:t>
      </w:r>
    </w:p>
    <w:p w14:paraId="6B6C467B" w14:textId="755222C5" w:rsidR="00DB31F6" w:rsidRDefault="086155DE">
      <w:pPr>
        <w:rPr>
          <w:rFonts w:ascii="Arial" w:hAnsi="Arial" w:cs="Arial"/>
        </w:rPr>
      </w:pPr>
      <w:r w:rsidRPr="086155DE">
        <w:rPr>
          <w:rFonts w:ascii="Arial" w:hAnsi="Arial" w:cs="Arial"/>
        </w:rPr>
        <w:t>We are committed to rewarding people in a fair and transparent way, based upon exceptional contributions to our community. The 20</w:t>
      </w:r>
      <w:r w:rsidR="0022197C">
        <w:rPr>
          <w:rFonts w:ascii="Arial" w:hAnsi="Arial" w:cs="Arial"/>
        </w:rPr>
        <w:t>24/25</w:t>
      </w:r>
      <w:r w:rsidRPr="086155DE">
        <w:rPr>
          <w:rFonts w:ascii="Arial" w:hAnsi="Arial" w:cs="Arial"/>
        </w:rPr>
        <w:t xml:space="preserve"> review will operate in the same way as in previous years.  To ensure that we are giving fair and equitable consideration to all staff members, any eligible member of staff who wishes to be considered for additional remuneration must </w:t>
      </w:r>
      <w:proofErr w:type="gramStart"/>
      <w:r w:rsidRPr="086155DE">
        <w:rPr>
          <w:rFonts w:ascii="Arial" w:hAnsi="Arial" w:cs="Arial"/>
        </w:rPr>
        <w:t>submit an application</w:t>
      </w:r>
      <w:proofErr w:type="gramEnd"/>
      <w:r w:rsidRPr="086155DE">
        <w:rPr>
          <w:rFonts w:ascii="Arial" w:hAnsi="Arial" w:cs="Arial"/>
        </w:rPr>
        <w:t xml:space="preserve"> form detailing their performance.  If a colleague does not apply, then we will not be able to consider a case. </w:t>
      </w:r>
    </w:p>
    <w:p w14:paraId="4A272B7C" w14:textId="77777777" w:rsidR="00B46241" w:rsidRPr="005C1872" w:rsidRDefault="00B46241" w:rsidP="00B46241">
      <w:pPr>
        <w:rPr>
          <w:rFonts w:ascii="Arial" w:hAnsi="Arial" w:cs="Arial"/>
        </w:rPr>
      </w:pPr>
      <w:r w:rsidRPr="005C1872">
        <w:rPr>
          <w:rFonts w:ascii="Arial" w:hAnsi="Arial" w:cs="Arial"/>
        </w:rPr>
        <w:t xml:space="preserve">Outstanding performance will be rewarded by the award of </w:t>
      </w:r>
      <w:r>
        <w:rPr>
          <w:rFonts w:ascii="Arial" w:hAnsi="Arial" w:cs="Arial"/>
        </w:rPr>
        <w:t xml:space="preserve">additional increments and / or </w:t>
      </w:r>
      <w:r w:rsidRPr="005C1872">
        <w:rPr>
          <w:rFonts w:ascii="Arial" w:hAnsi="Arial" w:cs="Arial"/>
        </w:rPr>
        <w:t>non-pensionable bonuses may be awarded in units of £500.</w:t>
      </w:r>
    </w:p>
    <w:p w14:paraId="447902E9" w14:textId="77777777" w:rsidR="00B46241" w:rsidRPr="005C1872" w:rsidRDefault="00B46241" w:rsidP="00B46241">
      <w:pPr>
        <w:rPr>
          <w:rFonts w:ascii="Arial" w:hAnsi="Arial" w:cs="Arial"/>
        </w:rPr>
      </w:pPr>
      <w:r w:rsidRPr="005C1872">
        <w:rPr>
          <w:rFonts w:ascii="Arial" w:hAnsi="Arial" w:cs="Arial"/>
        </w:rPr>
        <w:t xml:space="preserve">Outstanding performance will be rewarded by increments where this represents lasting high performance or where a major contribution to the University has been made over a sustained </w:t>
      </w:r>
      <w:proofErr w:type="gramStart"/>
      <w:r w:rsidRPr="005C1872">
        <w:rPr>
          <w:rFonts w:ascii="Arial" w:hAnsi="Arial" w:cs="Arial"/>
        </w:rPr>
        <w:t>period of time</w:t>
      </w:r>
      <w:proofErr w:type="gramEnd"/>
      <w:r w:rsidRPr="005C1872">
        <w:rPr>
          <w:rFonts w:ascii="Arial" w:hAnsi="Arial" w:cs="Arial"/>
        </w:rPr>
        <w:t>, and therefore merits recognition in the form of a permanent increase in salary, whereas a one-off bonus may be the more appropriate remuneration for specific action leading to finite benefits for the University.</w:t>
      </w:r>
    </w:p>
    <w:p w14:paraId="15835615" w14:textId="77777777" w:rsidR="00B46241" w:rsidRDefault="00B46241">
      <w:pPr>
        <w:rPr>
          <w:rFonts w:ascii="Arial" w:hAnsi="Arial" w:cs="Arial"/>
          <w:b/>
        </w:rPr>
      </w:pPr>
      <w:r>
        <w:rPr>
          <w:rFonts w:ascii="Arial" w:hAnsi="Arial" w:cs="Arial"/>
          <w:b/>
        </w:rPr>
        <w:t xml:space="preserve">How to apply </w:t>
      </w:r>
    </w:p>
    <w:p w14:paraId="44FD2E79" w14:textId="77777777" w:rsidR="001E42E6" w:rsidRDefault="001E42E6">
      <w:pPr>
        <w:rPr>
          <w:rFonts w:ascii="Arial" w:hAnsi="Arial" w:cs="Arial"/>
        </w:rPr>
      </w:pPr>
      <w:r>
        <w:rPr>
          <w:rFonts w:ascii="Arial" w:hAnsi="Arial" w:cs="Arial"/>
        </w:rPr>
        <w:t xml:space="preserve">Any eligible member of staff who wishes to be considered for additional remuneration must </w:t>
      </w:r>
      <w:proofErr w:type="gramStart"/>
      <w:r>
        <w:rPr>
          <w:rFonts w:ascii="Arial" w:hAnsi="Arial" w:cs="Arial"/>
        </w:rPr>
        <w:t>submit an application</w:t>
      </w:r>
      <w:proofErr w:type="gramEnd"/>
      <w:r>
        <w:rPr>
          <w:rFonts w:ascii="Arial" w:hAnsi="Arial" w:cs="Arial"/>
        </w:rPr>
        <w:t xml:space="preserve"> form which is located within the Annual Review web page. All cases will be considered by a panel which I </w:t>
      </w:r>
      <w:proofErr w:type="gramStart"/>
      <w:r>
        <w:rPr>
          <w:rFonts w:ascii="Arial" w:hAnsi="Arial" w:cs="Arial"/>
        </w:rPr>
        <w:t>chair, and</w:t>
      </w:r>
      <w:proofErr w:type="gramEnd"/>
      <w:r>
        <w:rPr>
          <w:rFonts w:ascii="Arial" w:hAnsi="Arial" w:cs="Arial"/>
        </w:rPr>
        <w:t xml:space="preserve"> are reported to the Remuneration Committee of Council. </w:t>
      </w:r>
    </w:p>
    <w:p w14:paraId="0A37501D" w14:textId="30C3D4AE" w:rsidR="001E42E6" w:rsidRPr="00CB16B5" w:rsidRDefault="00CB16B5">
      <w:pPr>
        <w:rPr>
          <w:rFonts w:ascii="Arial" w:hAnsi="Arial" w:cs="Arial"/>
          <w:bCs/>
        </w:rPr>
      </w:pPr>
      <w:r w:rsidRPr="00CB16B5">
        <w:rPr>
          <w:rFonts w:ascii="Arial" w:hAnsi="Arial" w:cs="Arial"/>
          <w:bCs/>
        </w:rPr>
        <w:t xml:space="preserve">All Office Holders Grade 7-11 and members of USG are considered under a separate process in the autumn staff within these groups will be invited to apply later in the year. </w:t>
      </w:r>
    </w:p>
    <w:p w14:paraId="60EEE68E" w14:textId="54F4EB7E" w:rsidR="0011216C" w:rsidRDefault="15AAF32D">
      <w:pPr>
        <w:rPr>
          <w:rFonts w:ascii="Arial" w:hAnsi="Arial" w:cs="Arial"/>
        </w:rPr>
      </w:pPr>
      <w:r w:rsidRPr="15AAF32D">
        <w:rPr>
          <w:rFonts w:ascii="Arial" w:hAnsi="Arial" w:cs="Arial"/>
        </w:rPr>
        <w:t xml:space="preserve">Please could you send your application electronically to your Head of Department by </w:t>
      </w:r>
      <w:r w:rsidR="0022197C">
        <w:rPr>
          <w:rFonts w:ascii="Arial" w:hAnsi="Arial" w:cs="Arial"/>
        </w:rPr>
        <w:t>5pm</w:t>
      </w:r>
      <w:r w:rsidRPr="15AAF32D">
        <w:rPr>
          <w:rFonts w:ascii="Arial" w:hAnsi="Arial" w:cs="Arial"/>
        </w:rPr>
        <w:t xml:space="preserve"> on </w:t>
      </w:r>
      <w:r w:rsidR="0022197C">
        <w:rPr>
          <w:rFonts w:ascii="Arial" w:hAnsi="Arial" w:cs="Arial"/>
        </w:rPr>
        <w:t>31</w:t>
      </w:r>
      <w:r w:rsidR="0022197C" w:rsidRPr="0022197C">
        <w:rPr>
          <w:rFonts w:ascii="Arial" w:hAnsi="Arial" w:cs="Arial"/>
          <w:vertAlign w:val="superscript"/>
        </w:rPr>
        <w:t>st</w:t>
      </w:r>
      <w:r w:rsidR="0022197C">
        <w:rPr>
          <w:rFonts w:ascii="Arial" w:hAnsi="Arial" w:cs="Arial"/>
        </w:rPr>
        <w:t xml:space="preserve"> </w:t>
      </w:r>
      <w:r w:rsidRPr="15AAF32D">
        <w:rPr>
          <w:rFonts w:ascii="Arial" w:hAnsi="Arial" w:cs="Arial"/>
        </w:rPr>
        <w:t>March 202</w:t>
      </w:r>
      <w:r w:rsidR="0022197C">
        <w:rPr>
          <w:rFonts w:ascii="Arial" w:hAnsi="Arial" w:cs="Arial"/>
        </w:rPr>
        <w:t>5</w:t>
      </w:r>
      <w:r w:rsidRPr="15AAF32D">
        <w:rPr>
          <w:rFonts w:ascii="Arial" w:hAnsi="Arial" w:cs="Arial"/>
        </w:rPr>
        <w:t xml:space="preserve">. Colleagues who are awarded increments or bonuses will be notified by personal letter in July. Bonuses </w:t>
      </w:r>
      <w:r w:rsidR="0022197C">
        <w:rPr>
          <w:rFonts w:ascii="Arial" w:hAnsi="Arial" w:cs="Arial"/>
        </w:rPr>
        <w:t xml:space="preserve">will be paid in August 2025 and Increments </w:t>
      </w:r>
      <w:r w:rsidRPr="15AAF32D">
        <w:rPr>
          <w:rFonts w:ascii="Arial" w:hAnsi="Arial" w:cs="Arial"/>
        </w:rPr>
        <w:t xml:space="preserve">awarded with effect from 1 October 2022. </w:t>
      </w:r>
    </w:p>
    <w:p w14:paraId="5DAB6C7B" w14:textId="77777777" w:rsidR="0011216C" w:rsidRDefault="0011216C">
      <w:pPr>
        <w:rPr>
          <w:rFonts w:ascii="Arial" w:hAnsi="Arial" w:cs="Arial"/>
        </w:rPr>
      </w:pPr>
    </w:p>
    <w:p w14:paraId="53ACB7D4" w14:textId="46F2525B" w:rsidR="0011216C" w:rsidRDefault="0011216C" w:rsidP="001729A9">
      <w:pPr>
        <w:contextualSpacing/>
        <w:rPr>
          <w:rFonts w:ascii="Arial" w:hAnsi="Arial" w:cs="Arial"/>
        </w:rPr>
      </w:pPr>
      <w:r>
        <w:rPr>
          <w:rFonts w:ascii="Arial" w:hAnsi="Arial" w:cs="Arial"/>
        </w:rPr>
        <w:t xml:space="preserve">Professor </w:t>
      </w:r>
      <w:r w:rsidR="0022197C">
        <w:rPr>
          <w:rFonts w:ascii="Arial" w:hAnsi="Arial" w:cs="Arial"/>
        </w:rPr>
        <w:t xml:space="preserve">Neil Kellard </w:t>
      </w:r>
    </w:p>
    <w:p w14:paraId="6785CBC9" w14:textId="77777777" w:rsidR="00512B7E" w:rsidRPr="0011216C" w:rsidRDefault="0011216C" w:rsidP="001729A9">
      <w:pPr>
        <w:contextualSpacing/>
        <w:rPr>
          <w:rFonts w:ascii="Arial" w:hAnsi="Arial" w:cs="Arial"/>
          <w:b/>
        </w:rPr>
      </w:pPr>
      <w:r w:rsidRPr="001729A9">
        <w:rPr>
          <w:rFonts w:ascii="Arial" w:hAnsi="Arial" w:cs="Arial"/>
          <w:b/>
        </w:rPr>
        <w:t>Deputy Vice-Chancellor</w:t>
      </w:r>
      <w:r w:rsidR="00512B7E" w:rsidRPr="0011216C">
        <w:rPr>
          <w:rFonts w:ascii="Arial" w:hAnsi="Arial" w:cs="Arial"/>
          <w:b/>
        </w:rPr>
        <w:br w:type="page"/>
      </w:r>
    </w:p>
    <w:p w14:paraId="02EB378F" w14:textId="77777777" w:rsidR="00512B7E" w:rsidRDefault="00512B7E" w:rsidP="0053285C">
      <w:pPr>
        <w:spacing w:after="0" w:line="240" w:lineRule="auto"/>
        <w:jc w:val="center"/>
        <w:rPr>
          <w:rFonts w:ascii="Arial" w:hAnsi="Arial" w:cs="Arial"/>
          <w:b/>
        </w:rPr>
      </w:pPr>
    </w:p>
    <w:p w14:paraId="6A05A809" w14:textId="77777777" w:rsidR="0053285C" w:rsidRDefault="0053285C" w:rsidP="00414A8E">
      <w:pPr>
        <w:spacing w:after="0" w:line="240" w:lineRule="auto"/>
      </w:pPr>
    </w:p>
    <w:p w14:paraId="377B6691" w14:textId="77777777" w:rsidR="0053285C" w:rsidRPr="0064193A" w:rsidRDefault="006D7E11" w:rsidP="00414A8E">
      <w:pPr>
        <w:spacing w:after="0" w:line="240" w:lineRule="auto"/>
        <w:rPr>
          <w:rFonts w:ascii="Arial" w:hAnsi="Arial" w:cs="Arial"/>
          <w:b/>
        </w:rPr>
      </w:pPr>
      <w:r w:rsidRPr="0064193A">
        <w:rPr>
          <w:rFonts w:ascii="Arial" w:hAnsi="Arial" w:cs="Arial"/>
          <w:b/>
        </w:rPr>
        <w:t xml:space="preserve">1. Introduction </w:t>
      </w:r>
    </w:p>
    <w:p w14:paraId="5A39BBE3" w14:textId="77777777" w:rsidR="0053285C" w:rsidRPr="0064193A" w:rsidRDefault="0053285C" w:rsidP="00414A8E">
      <w:pPr>
        <w:spacing w:after="0" w:line="240" w:lineRule="auto"/>
        <w:rPr>
          <w:rFonts w:ascii="Arial" w:hAnsi="Arial" w:cs="Arial"/>
        </w:rPr>
      </w:pPr>
    </w:p>
    <w:p w14:paraId="09497F21" w14:textId="77777777" w:rsidR="0053285C" w:rsidRPr="0064193A" w:rsidRDefault="006D7E11" w:rsidP="00A31B7D">
      <w:pPr>
        <w:spacing w:after="0" w:line="240" w:lineRule="auto"/>
        <w:ind w:left="284"/>
        <w:rPr>
          <w:rFonts w:ascii="Arial" w:hAnsi="Arial" w:cs="Arial"/>
        </w:rPr>
      </w:pPr>
      <w:r w:rsidRPr="0064193A">
        <w:rPr>
          <w:rFonts w:ascii="Arial" w:hAnsi="Arial" w:cs="Arial"/>
        </w:rPr>
        <w:t xml:space="preserve">1.1 At the University of Essex, staff are appointed to a spinal point on the grade associated with their role (for example, Lecturer Grade 9, Senior Research Officer Grade 8). These grades have been determined in relation to nationally agreed role profiles. </w:t>
      </w:r>
    </w:p>
    <w:p w14:paraId="41C8F396" w14:textId="77777777" w:rsidR="0053285C" w:rsidRPr="0064193A" w:rsidRDefault="0053285C" w:rsidP="00A31B7D">
      <w:pPr>
        <w:spacing w:after="0" w:line="240" w:lineRule="auto"/>
        <w:ind w:left="284"/>
        <w:rPr>
          <w:rFonts w:ascii="Arial" w:hAnsi="Arial" w:cs="Arial"/>
        </w:rPr>
      </w:pPr>
    </w:p>
    <w:p w14:paraId="048AC34A" w14:textId="77777777" w:rsidR="0053285C" w:rsidRPr="0064193A" w:rsidRDefault="006D7E11" w:rsidP="00A31B7D">
      <w:pPr>
        <w:spacing w:after="0" w:line="240" w:lineRule="auto"/>
        <w:ind w:left="284"/>
        <w:rPr>
          <w:rFonts w:ascii="Arial" w:hAnsi="Arial" w:cs="Arial"/>
        </w:rPr>
      </w:pPr>
      <w:r w:rsidRPr="0064193A">
        <w:rPr>
          <w:rFonts w:ascii="Arial" w:hAnsi="Arial" w:cs="Arial"/>
        </w:rPr>
        <w:t xml:space="preserve">1.2 On the salary scale within each grade, there are a varying number of automatic increments and staff move up the salary scale by one increment annually in October. Once a member of staff has reached the top of their grade, one or more discretionary increments are available. These are non-automatic, being awarded </w:t>
      </w:r>
      <w:proofErr w:type="gramStart"/>
      <w:r w:rsidRPr="0064193A">
        <w:rPr>
          <w:rFonts w:ascii="Arial" w:hAnsi="Arial" w:cs="Arial"/>
        </w:rPr>
        <w:t>on the basis of</w:t>
      </w:r>
      <w:proofErr w:type="gramEnd"/>
      <w:r w:rsidRPr="0064193A">
        <w:rPr>
          <w:rFonts w:ascii="Arial" w:hAnsi="Arial" w:cs="Arial"/>
        </w:rPr>
        <w:t xml:space="preserve"> sustained exceptional performance. </w:t>
      </w:r>
    </w:p>
    <w:p w14:paraId="72A3D3EC" w14:textId="77777777" w:rsidR="0053285C" w:rsidRPr="0064193A" w:rsidRDefault="0053285C" w:rsidP="00A31B7D">
      <w:pPr>
        <w:spacing w:after="0" w:line="240" w:lineRule="auto"/>
        <w:ind w:left="284"/>
        <w:rPr>
          <w:rFonts w:ascii="Arial" w:hAnsi="Arial" w:cs="Arial"/>
        </w:rPr>
      </w:pPr>
    </w:p>
    <w:p w14:paraId="12C8C9D8" w14:textId="77777777" w:rsidR="0053285C" w:rsidRPr="0064193A" w:rsidRDefault="006D7E11" w:rsidP="00A31B7D">
      <w:pPr>
        <w:spacing w:after="0" w:line="240" w:lineRule="auto"/>
        <w:ind w:left="284"/>
        <w:rPr>
          <w:rFonts w:ascii="Arial" w:hAnsi="Arial" w:cs="Arial"/>
        </w:rPr>
      </w:pPr>
      <w:r w:rsidRPr="0064193A">
        <w:rPr>
          <w:rFonts w:ascii="Arial" w:hAnsi="Arial" w:cs="Arial"/>
        </w:rPr>
        <w:t xml:space="preserve">1.3 Salary scales are also subject to review in August of each year and any percentage uplift to the salary scale is agreed through a national pay bargaining process. To attract and retain high performers, the University uses additional mechanisms to reward high performing staff. </w:t>
      </w:r>
    </w:p>
    <w:p w14:paraId="0D0B940D" w14:textId="77777777" w:rsidR="0053285C" w:rsidRPr="0064193A" w:rsidRDefault="0053285C" w:rsidP="00A31B7D">
      <w:pPr>
        <w:spacing w:after="0" w:line="240" w:lineRule="auto"/>
        <w:ind w:left="284"/>
        <w:rPr>
          <w:rFonts w:ascii="Arial" w:hAnsi="Arial" w:cs="Arial"/>
        </w:rPr>
      </w:pPr>
    </w:p>
    <w:p w14:paraId="225BEA68" w14:textId="77777777" w:rsidR="0053285C" w:rsidRPr="0064193A" w:rsidRDefault="006D7E11" w:rsidP="00A31B7D">
      <w:pPr>
        <w:spacing w:after="0" w:line="240" w:lineRule="auto"/>
        <w:ind w:left="284"/>
        <w:rPr>
          <w:rFonts w:ascii="Arial" w:hAnsi="Arial" w:cs="Arial"/>
        </w:rPr>
      </w:pPr>
      <w:r w:rsidRPr="0064193A">
        <w:rPr>
          <w:rFonts w:ascii="Arial" w:hAnsi="Arial" w:cs="Arial"/>
        </w:rPr>
        <w:t xml:space="preserve">1.4 To support its strategic aims of excellence in education and excellence in research, the University will ensure that there is an opportunity each year for staff to be recognised and rewarded over and above the nationally agreed pay review, where there is exceptional performance in relation to research and education activity, or other duties as specified in roles or within departments. </w:t>
      </w:r>
    </w:p>
    <w:p w14:paraId="0E27B00A" w14:textId="77777777" w:rsidR="0053285C" w:rsidRPr="0064193A" w:rsidRDefault="0053285C" w:rsidP="00A31B7D">
      <w:pPr>
        <w:spacing w:after="0" w:line="240" w:lineRule="auto"/>
        <w:ind w:left="284"/>
        <w:rPr>
          <w:rFonts w:ascii="Arial" w:hAnsi="Arial" w:cs="Arial"/>
        </w:rPr>
      </w:pPr>
    </w:p>
    <w:p w14:paraId="33B8D430" w14:textId="77777777" w:rsidR="0053285C" w:rsidRPr="0064193A" w:rsidRDefault="006D7E11" w:rsidP="00A31B7D">
      <w:pPr>
        <w:spacing w:after="0" w:line="240" w:lineRule="auto"/>
        <w:ind w:left="284"/>
        <w:rPr>
          <w:rFonts w:ascii="Arial" w:hAnsi="Arial" w:cs="Arial"/>
        </w:rPr>
      </w:pPr>
      <w:r w:rsidRPr="0064193A">
        <w:rPr>
          <w:rFonts w:ascii="Arial" w:hAnsi="Arial" w:cs="Arial"/>
        </w:rPr>
        <w:t xml:space="preserve">1.5 When enhancing financial reward and recognition for exceptional performance, consideration will always be given to the University’s Equality and Diversity framework. Equality data will also be reviewed regularly to identify any groups that may be underrepresented. </w:t>
      </w:r>
    </w:p>
    <w:p w14:paraId="60061E4C" w14:textId="77777777" w:rsidR="0053285C" w:rsidRPr="0064193A" w:rsidRDefault="0053285C" w:rsidP="00A31B7D">
      <w:pPr>
        <w:spacing w:after="0" w:line="240" w:lineRule="auto"/>
        <w:ind w:left="284"/>
        <w:rPr>
          <w:rFonts w:ascii="Arial" w:hAnsi="Arial" w:cs="Arial"/>
        </w:rPr>
      </w:pPr>
    </w:p>
    <w:p w14:paraId="5BAAFE6A" w14:textId="5F6D5956" w:rsidR="0053285C" w:rsidRPr="0064193A" w:rsidRDefault="15AAF32D" w:rsidP="00A31B7D">
      <w:pPr>
        <w:spacing w:after="0" w:line="240" w:lineRule="auto"/>
        <w:ind w:left="284"/>
        <w:rPr>
          <w:rFonts w:ascii="Arial" w:hAnsi="Arial" w:cs="Arial"/>
        </w:rPr>
      </w:pPr>
      <w:r w:rsidRPr="15AAF32D">
        <w:rPr>
          <w:rFonts w:ascii="Arial" w:hAnsi="Arial" w:cs="Arial"/>
        </w:rPr>
        <w:t xml:space="preserve">1.6 Decisions regarding performance-related pay and reward for G7-10 academic staff will be made by a sub-committee of Remuneration Committee, chaired by the Deputy Vice-Chancellor (DVC) effective from 2014-15. The sub-committee will decide on the award of increments and bonuses and report the decisions to Remuneration Committee. Remuneration Committee will have responsibility for University policy in relation to performance related reward for staff. Academic Staffing Committee will remain responsible for permanency and promotion. </w:t>
      </w:r>
    </w:p>
    <w:p w14:paraId="44EAFD9C" w14:textId="77777777" w:rsidR="0053285C" w:rsidRPr="0064193A" w:rsidRDefault="0053285C" w:rsidP="00414A8E">
      <w:pPr>
        <w:spacing w:after="0" w:line="240" w:lineRule="auto"/>
        <w:rPr>
          <w:rFonts w:ascii="Arial" w:hAnsi="Arial" w:cs="Arial"/>
        </w:rPr>
      </w:pPr>
    </w:p>
    <w:p w14:paraId="44B7966D" w14:textId="77777777" w:rsidR="0053285C" w:rsidRPr="006E0BD3" w:rsidRDefault="006D7E11" w:rsidP="00414A8E">
      <w:pPr>
        <w:spacing w:after="0" w:line="240" w:lineRule="auto"/>
        <w:rPr>
          <w:rFonts w:ascii="Arial" w:hAnsi="Arial" w:cs="Arial"/>
          <w:b/>
        </w:rPr>
      </w:pPr>
      <w:r w:rsidRPr="006E0BD3">
        <w:rPr>
          <w:rFonts w:ascii="Arial" w:hAnsi="Arial" w:cs="Arial"/>
          <w:b/>
        </w:rPr>
        <w:t xml:space="preserve">2 Eligibility </w:t>
      </w:r>
    </w:p>
    <w:p w14:paraId="4B94D5A5" w14:textId="77777777" w:rsidR="0053285C" w:rsidRPr="0064193A" w:rsidRDefault="0053285C" w:rsidP="00414A8E">
      <w:pPr>
        <w:spacing w:after="0" w:line="240" w:lineRule="auto"/>
        <w:rPr>
          <w:rFonts w:ascii="Arial" w:hAnsi="Arial" w:cs="Arial"/>
        </w:rPr>
      </w:pPr>
    </w:p>
    <w:p w14:paraId="2ADDFE1D" w14:textId="77777777" w:rsidR="0053285C" w:rsidRPr="0064193A" w:rsidRDefault="006D7E11" w:rsidP="00A41251">
      <w:pPr>
        <w:spacing w:after="0" w:line="240" w:lineRule="auto"/>
        <w:ind w:left="284"/>
        <w:rPr>
          <w:rFonts w:ascii="Arial" w:hAnsi="Arial" w:cs="Arial"/>
        </w:rPr>
      </w:pPr>
      <w:r w:rsidRPr="0064193A">
        <w:rPr>
          <w:rFonts w:ascii="Arial" w:hAnsi="Arial" w:cs="Arial"/>
        </w:rPr>
        <w:t xml:space="preserve">2.1 All fixed-term and permanent academic staff grades 7-10 are eligible to apply for an increment or bonus through this process. </w:t>
      </w:r>
    </w:p>
    <w:p w14:paraId="3DEEC669" w14:textId="77777777" w:rsidR="0053285C" w:rsidRPr="0064193A" w:rsidRDefault="0053285C" w:rsidP="00A41251">
      <w:pPr>
        <w:spacing w:after="0" w:line="240" w:lineRule="auto"/>
        <w:ind w:left="284"/>
        <w:rPr>
          <w:rFonts w:ascii="Arial" w:hAnsi="Arial" w:cs="Arial"/>
        </w:rPr>
      </w:pPr>
    </w:p>
    <w:p w14:paraId="59CA69E2" w14:textId="6CB46F0B" w:rsidR="0053285C" w:rsidRPr="0064193A" w:rsidRDefault="15AAF32D" w:rsidP="00A41251">
      <w:pPr>
        <w:spacing w:after="0" w:line="240" w:lineRule="auto"/>
        <w:ind w:left="284"/>
        <w:rPr>
          <w:rFonts w:ascii="Arial" w:hAnsi="Arial" w:cs="Arial"/>
        </w:rPr>
      </w:pPr>
      <w:r w:rsidRPr="15AAF32D">
        <w:rPr>
          <w:rFonts w:ascii="Arial" w:hAnsi="Arial" w:cs="Arial"/>
        </w:rPr>
        <w:t xml:space="preserve">2.2 Professorial pay is considered through a separate process managed by Remuneration Committee. </w:t>
      </w:r>
    </w:p>
    <w:p w14:paraId="3656B9AB" w14:textId="77777777" w:rsidR="0053285C" w:rsidRPr="0064193A" w:rsidRDefault="0053285C" w:rsidP="00A41251">
      <w:pPr>
        <w:spacing w:after="0" w:line="240" w:lineRule="auto"/>
        <w:ind w:left="284"/>
        <w:rPr>
          <w:rFonts w:ascii="Arial" w:hAnsi="Arial" w:cs="Arial"/>
        </w:rPr>
      </w:pPr>
    </w:p>
    <w:p w14:paraId="5ACF2459" w14:textId="77777777" w:rsidR="0053285C" w:rsidRPr="0064193A" w:rsidRDefault="006D7E11" w:rsidP="00A41251">
      <w:pPr>
        <w:spacing w:after="0" w:line="240" w:lineRule="auto"/>
        <w:ind w:left="284"/>
        <w:rPr>
          <w:rFonts w:ascii="Arial" w:hAnsi="Arial" w:cs="Arial"/>
        </w:rPr>
      </w:pPr>
      <w:r w:rsidRPr="0064193A">
        <w:rPr>
          <w:rFonts w:ascii="Arial" w:hAnsi="Arial" w:cs="Arial"/>
        </w:rPr>
        <w:t>2.3 Staff with documented performance concerns or currently active disciplinary/capability warnings will not be eligible to apply for a bonus or increment.</w:t>
      </w:r>
    </w:p>
    <w:p w14:paraId="45FB0818" w14:textId="77777777" w:rsidR="0053285C" w:rsidRPr="0064193A" w:rsidRDefault="0053285C" w:rsidP="00414A8E">
      <w:pPr>
        <w:spacing w:after="0" w:line="240" w:lineRule="auto"/>
        <w:rPr>
          <w:rFonts w:ascii="Arial" w:hAnsi="Arial" w:cs="Arial"/>
        </w:rPr>
      </w:pPr>
    </w:p>
    <w:p w14:paraId="1C1CE6DF" w14:textId="77777777" w:rsidR="0053285C" w:rsidRPr="006E0BD3" w:rsidRDefault="006D7E11" w:rsidP="00414A8E">
      <w:pPr>
        <w:spacing w:after="0" w:line="240" w:lineRule="auto"/>
        <w:rPr>
          <w:rFonts w:ascii="Arial" w:hAnsi="Arial" w:cs="Arial"/>
          <w:b/>
        </w:rPr>
      </w:pPr>
      <w:r w:rsidRPr="006E0BD3">
        <w:rPr>
          <w:rFonts w:ascii="Arial" w:hAnsi="Arial" w:cs="Arial"/>
          <w:b/>
        </w:rPr>
        <w:t xml:space="preserve">3 Criterion </w:t>
      </w:r>
    </w:p>
    <w:p w14:paraId="049F31CB" w14:textId="77777777" w:rsidR="0053285C" w:rsidRPr="0064193A" w:rsidRDefault="0053285C" w:rsidP="00414A8E">
      <w:pPr>
        <w:spacing w:after="0" w:line="240" w:lineRule="auto"/>
        <w:rPr>
          <w:rFonts w:ascii="Arial" w:hAnsi="Arial" w:cs="Arial"/>
        </w:rPr>
      </w:pPr>
    </w:p>
    <w:p w14:paraId="50543A21" w14:textId="77777777" w:rsidR="0053285C" w:rsidRPr="0064193A" w:rsidRDefault="006D7E11" w:rsidP="00D8605E">
      <w:pPr>
        <w:spacing w:after="0" w:line="240" w:lineRule="auto"/>
        <w:ind w:left="284"/>
        <w:rPr>
          <w:rFonts w:ascii="Arial" w:hAnsi="Arial" w:cs="Arial"/>
        </w:rPr>
      </w:pPr>
      <w:r w:rsidRPr="0064193A">
        <w:rPr>
          <w:rFonts w:ascii="Arial" w:hAnsi="Arial" w:cs="Arial"/>
        </w:rPr>
        <w:t xml:space="preserve">3.1 Members of academic staff must provide evidence to demonstrate: </w:t>
      </w:r>
    </w:p>
    <w:p w14:paraId="53128261" w14:textId="77777777" w:rsidR="0053285C" w:rsidRPr="0064193A" w:rsidRDefault="0053285C" w:rsidP="00D8605E">
      <w:pPr>
        <w:spacing w:after="0" w:line="240" w:lineRule="auto"/>
        <w:ind w:left="709"/>
        <w:rPr>
          <w:rFonts w:ascii="Arial" w:hAnsi="Arial" w:cs="Arial"/>
        </w:rPr>
      </w:pPr>
    </w:p>
    <w:p w14:paraId="7E8F86E8" w14:textId="77777777" w:rsidR="0053285C" w:rsidRDefault="006D7E11" w:rsidP="00D8605E">
      <w:pPr>
        <w:spacing w:after="0" w:line="240" w:lineRule="auto"/>
        <w:ind w:left="709"/>
        <w:rPr>
          <w:rFonts w:ascii="Arial" w:hAnsi="Arial" w:cs="Arial"/>
        </w:rPr>
      </w:pPr>
      <w:r w:rsidRPr="0064193A">
        <w:rPr>
          <w:rFonts w:ascii="Arial" w:hAnsi="Arial" w:cs="Arial"/>
        </w:rPr>
        <w:lastRenderedPageBreak/>
        <w:t>· Exceptional performance and impact over and above normal expectations of their role in Education or Research/Scholarship/Professional Practice or Leadership/Citizenship.</w:t>
      </w:r>
    </w:p>
    <w:p w14:paraId="62486C05" w14:textId="77777777" w:rsidR="006E0BD3" w:rsidRPr="0064193A" w:rsidRDefault="006E0BD3" w:rsidP="0053285C">
      <w:pPr>
        <w:spacing w:after="0" w:line="240" w:lineRule="auto"/>
        <w:ind w:left="720"/>
        <w:rPr>
          <w:rFonts w:ascii="Arial" w:hAnsi="Arial" w:cs="Arial"/>
        </w:rPr>
      </w:pPr>
    </w:p>
    <w:p w14:paraId="374F2A95" w14:textId="3973CB53" w:rsidR="0053285C" w:rsidRPr="0064193A" w:rsidRDefault="15AAF32D" w:rsidP="00D8605E">
      <w:pPr>
        <w:spacing w:after="0" w:line="240" w:lineRule="auto"/>
        <w:ind w:left="284"/>
        <w:rPr>
          <w:rFonts w:ascii="Arial" w:hAnsi="Arial" w:cs="Arial"/>
        </w:rPr>
      </w:pPr>
      <w:r w:rsidRPr="15AAF32D">
        <w:rPr>
          <w:rFonts w:ascii="Arial" w:hAnsi="Arial" w:cs="Arial"/>
        </w:rPr>
        <w:t>3.2 Staff may be awarded:</w:t>
      </w:r>
    </w:p>
    <w:p w14:paraId="4101652C" w14:textId="77777777" w:rsidR="0053285C" w:rsidRPr="0064193A" w:rsidRDefault="0053285C" w:rsidP="00D8605E">
      <w:pPr>
        <w:spacing w:after="0" w:line="240" w:lineRule="auto"/>
        <w:ind w:left="284"/>
        <w:rPr>
          <w:rFonts w:ascii="Arial" w:hAnsi="Arial" w:cs="Arial"/>
        </w:rPr>
      </w:pPr>
    </w:p>
    <w:p w14:paraId="2E14EC02" w14:textId="6F9C8719" w:rsidR="0053285C" w:rsidRPr="0064193A" w:rsidRDefault="0053285C" w:rsidP="00D8605E">
      <w:pPr>
        <w:spacing w:after="0" w:line="240" w:lineRule="auto"/>
        <w:ind w:left="709"/>
        <w:rPr>
          <w:rFonts w:ascii="Arial" w:hAnsi="Arial" w:cs="Arial"/>
        </w:rPr>
      </w:pPr>
      <w:r w:rsidRPr="0064193A">
        <w:rPr>
          <w:rFonts w:ascii="Arial" w:hAnsi="Arial" w:cs="Arial"/>
        </w:rPr>
        <w:t xml:space="preserve"> </w:t>
      </w:r>
      <w:r w:rsidR="006D7E11" w:rsidRPr="0064193A">
        <w:rPr>
          <w:rFonts w:ascii="Symbol" w:eastAsia="Symbol" w:hAnsi="Symbol" w:cs="Symbol"/>
        </w:rPr>
        <w:t>·</w:t>
      </w:r>
      <w:r w:rsidR="006D7E11" w:rsidRPr="0064193A">
        <w:rPr>
          <w:rFonts w:ascii="Arial" w:hAnsi="Arial" w:cs="Arial"/>
        </w:rPr>
        <w:t xml:space="preserve"> A performance-related discretiona</w:t>
      </w:r>
      <w:r w:rsidR="006D7E11" w:rsidRPr="00932552">
        <w:rPr>
          <w:rFonts w:ascii="Arial" w:hAnsi="Arial" w:cs="Arial"/>
        </w:rPr>
        <w:t>ry</w:t>
      </w:r>
      <w:r w:rsidR="00932552">
        <w:rPr>
          <w:rStyle w:val="FootnoteReference"/>
          <w:rFonts w:ascii="Arial" w:hAnsi="Arial" w:cs="Arial"/>
        </w:rPr>
        <w:footnoteReference w:id="1"/>
      </w:r>
      <w:r w:rsidR="006D7E11" w:rsidRPr="0064193A">
        <w:rPr>
          <w:rFonts w:ascii="Arial" w:hAnsi="Arial" w:cs="Arial"/>
        </w:rPr>
        <w:t xml:space="preserve"> increment: for sustained and continuing exceptional performance; and / or,</w:t>
      </w:r>
    </w:p>
    <w:p w14:paraId="76F943C1" w14:textId="77777777" w:rsidR="0053285C" w:rsidRPr="0064193A" w:rsidRDefault="006D7E11" w:rsidP="00D8605E">
      <w:pPr>
        <w:spacing w:after="0" w:line="240" w:lineRule="auto"/>
        <w:ind w:left="709"/>
        <w:rPr>
          <w:rFonts w:ascii="Arial" w:hAnsi="Arial" w:cs="Arial"/>
        </w:rPr>
      </w:pPr>
      <w:r w:rsidRPr="0064193A">
        <w:rPr>
          <w:rFonts w:ascii="Arial" w:hAnsi="Arial" w:cs="Arial"/>
        </w:rPr>
        <w:t xml:space="preserve"> </w:t>
      </w:r>
      <w:r w:rsidRPr="0064193A">
        <w:rPr>
          <w:rFonts w:ascii="Symbol" w:eastAsia="Symbol" w:hAnsi="Symbol" w:cs="Symbol"/>
        </w:rPr>
        <w:t>·</w:t>
      </w:r>
      <w:r w:rsidRPr="0064193A">
        <w:rPr>
          <w:rFonts w:ascii="Arial" w:hAnsi="Arial" w:cs="Arial"/>
        </w:rPr>
        <w:t xml:space="preserve"> A bonus: for exceptional performance in relation to a one-off project, activity or outcome. </w:t>
      </w:r>
    </w:p>
    <w:p w14:paraId="4B99056E" w14:textId="77777777" w:rsidR="0053285C" w:rsidRPr="0064193A" w:rsidRDefault="0053285C" w:rsidP="00414A8E">
      <w:pPr>
        <w:spacing w:after="0" w:line="240" w:lineRule="auto"/>
        <w:rPr>
          <w:rFonts w:ascii="Arial" w:hAnsi="Arial" w:cs="Arial"/>
        </w:rPr>
      </w:pPr>
    </w:p>
    <w:p w14:paraId="0E009868" w14:textId="77777777" w:rsidR="0053285C" w:rsidRPr="0064193A" w:rsidRDefault="006D7E11" w:rsidP="00D8605E">
      <w:pPr>
        <w:spacing w:after="0" w:line="240" w:lineRule="auto"/>
        <w:ind w:left="284"/>
        <w:rPr>
          <w:rFonts w:ascii="Arial" w:hAnsi="Arial" w:cs="Arial"/>
        </w:rPr>
      </w:pPr>
      <w:r w:rsidRPr="0064193A">
        <w:rPr>
          <w:rFonts w:ascii="Arial" w:hAnsi="Arial" w:cs="Arial"/>
        </w:rPr>
        <w:t xml:space="preserve">Appendix A provides examples of the types of activity that may be rewarded by a bonus or increment for Academic staff. </w:t>
      </w:r>
    </w:p>
    <w:p w14:paraId="1299C43A" w14:textId="77777777" w:rsidR="0053285C" w:rsidRPr="0064193A" w:rsidRDefault="0053285C" w:rsidP="00D8605E">
      <w:pPr>
        <w:spacing w:after="0" w:line="240" w:lineRule="auto"/>
        <w:ind w:left="284"/>
        <w:rPr>
          <w:rFonts w:ascii="Arial" w:hAnsi="Arial" w:cs="Arial"/>
        </w:rPr>
      </w:pPr>
    </w:p>
    <w:p w14:paraId="266E76E7" w14:textId="77777777" w:rsidR="0053285C" w:rsidRPr="0064193A" w:rsidRDefault="006D7E11" w:rsidP="00D8605E">
      <w:pPr>
        <w:spacing w:after="0" w:line="240" w:lineRule="auto"/>
        <w:ind w:left="284"/>
        <w:rPr>
          <w:rFonts w:ascii="Arial" w:hAnsi="Arial" w:cs="Arial"/>
        </w:rPr>
      </w:pPr>
      <w:r w:rsidRPr="0064193A">
        <w:rPr>
          <w:rFonts w:ascii="Arial" w:hAnsi="Arial" w:cs="Arial"/>
        </w:rPr>
        <w:t xml:space="preserve">3.3 Bonuses will be available in multiples of £500, ranging from £500 (gross) up to £2000 (gross). Bonuses are taxable but non-pensionable. </w:t>
      </w:r>
    </w:p>
    <w:p w14:paraId="4DDBEF00" w14:textId="77777777" w:rsidR="0053285C" w:rsidRPr="0064193A" w:rsidRDefault="0053285C" w:rsidP="00414A8E">
      <w:pPr>
        <w:spacing w:after="0" w:line="240" w:lineRule="auto"/>
        <w:rPr>
          <w:rFonts w:ascii="Arial" w:hAnsi="Arial" w:cs="Arial"/>
        </w:rPr>
      </w:pPr>
    </w:p>
    <w:p w14:paraId="1D04738B" w14:textId="77777777" w:rsidR="0053285C" w:rsidRPr="006E0BD3" w:rsidRDefault="006D7E11" w:rsidP="00414A8E">
      <w:pPr>
        <w:spacing w:after="0" w:line="240" w:lineRule="auto"/>
        <w:rPr>
          <w:rFonts w:ascii="Arial" w:hAnsi="Arial" w:cs="Arial"/>
          <w:b/>
        </w:rPr>
      </w:pPr>
      <w:r w:rsidRPr="006E0BD3">
        <w:rPr>
          <w:rFonts w:ascii="Arial" w:hAnsi="Arial" w:cs="Arial"/>
          <w:b/>
        </w:rPr>
        <w:t xml:space="preserve">4 Application process </w:t>
      </w:r>
    </w:p>
    <w:p w14:paraId="3461D779" w14:textId="77777777" w:rsidR="0053285C" w:rsidRPr="0064193A" w:rsidRDefault="0053285C" w:rsidP="00414A8E">
      <w:pPr>
        <w:spacing w:after="0" w:line="240" w:lineRule="auto"/>
        <w:rPr>
          <w:rFonts w:ascii="Arial" w:hAnsi="Arial" w:cs="Arial"/>
        </w:rPr>
      </w:pPr>
    </w:p>
    <w:p w14:paraId="119F5050" w14:textId="77777777" w:rsidR="0053285C" w:rsidRPr="0064193A" w:rsidRDefault="006D7E11" w:rsidP="00D8605E">
      <w:pPr>
        <w:spacing w:after="0" w:line="240" w:lineRule="auto"/>
        <w:ind w:left="284"/>
        <w:rPr>
          <w:rFonts w:ascii="Arial" w:hAnsi="Arial" w:cs="Arial"/>
        </w:rPr>
      </w:pPr>
      <w:r w:rsidRPr="0064193A">
        <w:rPr>
          <w:rFonts w:ascii="Arial" w:hAnsi="Arial" w:cs="Arial"/>
        </w:rPr>
        <w:t xml:space="preserve">4.1 Applicants should complete the Increments and Bonuses application form and forward to their Head of Department. </w:t>
      </w:r>
    </w:p>
    <w:p w14:paraId="3CF2D8B6" w14:textId="77777777" w:rsidR="0053285C" w:rsidRPr="0064193A" w:rsidRDefault="0053285C" w:rsidP="00D8605E">
      <w:pPr>
        <w:spacing w:after="0" w:line="240" w:lineRule="auto"/>
        <w:ind w:left="284"/>
        <w:rPr>
          <w:rFonts w:ascii="Arial" w:hAnsi="Arial" w:cs="Arial"/>
        </w:rPr>
      </w:pPr>
    </w:p>
    <w:p w14:paraId="0959D675" w14:textId="77777777" w:rsidR="003D6D26" w:rsidRPr="0064193A" w:rsidRDefault="006D7E11" w:rsidP="00D8605E">
      <w:pPr>
        <w:spacing w:after="0" w:line="240" w:lineRule="auto"/>
        <w:ind w:left="284"/>
        <w:rPr>
          <w:rFonts w:ascii="Arial" w:hAnsi="Arial" w:cs="Arial"/>
        </w:rPr>
      </w:pPr>
      <w:r w:rsidRPr="0064193A">
        <w:rPr>
          <w:rFonts w:ascii="Arial" w:hAnsi="Arial" w:cs="Arial"/>
        </w:rPr>
        <w:t>4.2 The Head of Department as line manager will coordinate increment and bonus recommendations within each department. Heads of Department will comment on the individual’s application and summarise overall performance and contribution. They will then make recommendations to the Executive Dean or Registrar, who will consider and pass recommendations to a sub-committee of Remuneration Committee chaired by the DVC.</w:t>
      </w:r>
    </w:p>
    <w:p w14:paraId="0FB78278" w14:textId="77777777" w:rsidR="003D6D26" w:rsidRPr="0064193A" w:rsidRDefault="003D6D26" w:rsidP="00D8605E">
      <w:pPr>
        <w:spacing w:after="0" w:line="240" w:lineRule="auto"/>
        <w:ind w:left="284"/>
        <w:rPr>
          <w:rFonts w:ascii="Arial" w:hAnsi="Arial" w:cs="Arial"/>
        </w:rPr>
      </w:pPr>
    </w:p>
    <w:p w14:paraId="72521F14" w14:textId="1B7F7DC4" w:rsidR="003D6D26" w:rsidRPr="0064193A" w:rsidRDefault="1929E3FF" w:rsidP="00D8605E">
      <w:pPr>
        <w:spacing w:after="0" w:line="240" w:lineRule="auto"/>
        <w:ind w:left="284"/>
        <w:rPr>
          <w:rFonts w:ascii="Arial" w:hAnsi="Arial" w:cs="Arial"/>
        </w:rPr>
      </w:pPr>
      <w:r w:rsidRPr="1929E3FF">
        <w:rPr>
          <w:rFonts w:ascii="Arial" w:hAnsi="Arial" w:cs="Arial"/>
        </w:rPr>
        <w:t xml:space="preserve"> 4.3 Each department may decide their internal process for making recommendations for increments or bonuses. For academic staff this could comprise: i) reviewing applications at the Senior Staff meeting; ii) constituting a group of senior leaders within the department (e.g. Directors of Education, Research and Employability); iii) seeking the views of those senior staff most closely involved in working with individuals for example a module lead/supervisor or Head of Group; iv) seeking the collective views of the Professoriate alone. The departmental process will be agreed in advance with the Executive Dean. </w:t>
      </w:r>
    </w:p>
    <w:p w14:paraId="1FC39945" w14:textId="77777777" w:rsidR="003D6D26" w:rsidRPr="0064193A" w:rsidRDefault="003D6D26" w:rsidP="00D8605E">
      <w:pPr>
        <w:spacing w:after="0" w:line="240" w:lineRule="auto"/>
        <w:ind w:left="284"/>
        <w:rPr>
          <w:rFonts w:ascii="Arial" w:hAnsi="Arial" w:cs="Arial"/>
        </w:rPr>
      </w:pPr>
    </w:p>
    <w:p w14:paraId="03141807" w14:textId="77777777" w:rsidR="003D6D26" w:rsidRPr="0064193A" w:rsidRDefault="006D7E11" w:rsidP="00D8605E">
      <w:pPr>
        <w:spacing w:after="0" w:line="240" w:lineRule="auto"/>
        <w:ind w:left="284"/>
        <w:rPr>
          <w:rFonts w:ascii="Arial" w:hAnsi="Arial" w:cs="Arial"/>
        </w:rPr>
      </w:pPr>
      <w:r w:rsidRPr="0064193A">
        <w:rPr>
          <w:rFonts w:ascii="Arial" w:hAnsi="Arial" w:cs="Arial"/>
        </w:rPr>
        <w:t>4.4 All applications will be sent to the Executive Dean by the published deadline. They will then be reviewed by a sub-committee of Remuneration Committee who will report their decisions to Remuneration Committee.</w:t>
      </w:r>
    </w:p>
    <w:p w14:paraId="0562CB0E" w14:textId="77777777" w:rsidR="003D6D26" w:rsidRPr="0064193A" w:rsidRDefault="003D6D26" w:rsidP="00D8605E">
      <w:pPr>
        <w:spacing w:after="0" w:line="240" w:lineRule="auto"/>
        <w:ind w:left="284"/>
        <w:rPr>
          <w:rFonts w:ascii="Arial" w:hAnsi="Arial" w:cs="Arial"/>
        </w:rPr>
      </w:pPr>
    </w:p>
    <w:p w14:paraId="1DC9D94D" w14:textId="77777777" w:rsidR="0064193A" w:rsidRPr="0064193A" w:rsidRDefault="006D7E11" w:rsidP="00D8605E">
      <w:pPr>
        <w:spacing w:after="0" w:line="240" w:lineRule="auto"/>
        <w:ind w:left="284"/>
        <w:rPr>
          <w:rFonts w:ascii="Arial" w:hAnsi="Arial" w:cs="Arial"/>
        </w:rPr>
      </w:pPr>
      <w:r w:rsidRPr="0064193A">
        <w:rPr>
          <w:rFonts w:ascii="Arial" w:hAnsi="Arial" w:cs="Arial"/>
        </w:rPr>
        <w:t xml:space="preserve">4.5 Successful applications will be awarded increments on their normal increment date (1 August for grades 1-6 or 1 October for grades 7-11). Bonuses will normally be paid the month following the decision. </w:t>
      </w:r>
      <w:r w:rsidR="0064193A" w:rsidRPr="0064193A">
        <w:rPr>
          <w:rFonts w:ascii="Arial" w:hAnsi="Arial" w:cs="Arial"/>
        </w:rPr>
        <w:br w:type="page"/>
      </w:r>
    </w:p>
    <w:p w14:paraId="2430976A" w14:textId="77777777" w:rsidR="0064193A" w:rsidRPr="0064193A" w:rsidRDefault="006D7E11" w:rsidP="00414A8E">
      <w:pPr>
        <w:spacing w:after="0" w:line="240" w:lineRule="auto"/>
        <w:rPr>
          <w:rFonts w:ascii="Arial" w:hAnsi="Arial" w:cs="Arial"/>
          <w:b/>
        </w:rPr>
      </w:pPr>
      <w:r w:rsidRPr="0064193A">
        <w:rPr>
          <w:rFonts w:ascii="Arial" w:hAnsi="Arial" w:cs="Arial"/>
          <w:b/>
        </w:rPr>
        <w:lastRenderedPageBreak/>
        <w:t xml:space="preserve">Appendix A: Examples of Exceptional Performance: </w:t>
      </w:r>
    </w:p>
    <w:p w14:paraId="34CE0A41" w14:textId="77777777" w:rsidR="0064193A" w:rsidRPr="0064193A" w:rsidRDefault="0064193A" w:rsidP="00414A8E">
      <w:pPr>
        <w:spacing w:after="0" w:line="240" w:lineRule="auto"/>
        <w:rPr>
          <w:rFonts w:ascii="Arial" w:hAnsi="Arial" w:cs="Arial"/>
        </w:rPr>
      </w:pPr>
    </w:p>
    <w:p w14:paraId="67F44B85" w14:textId="77777777" w:rsidR="0064193A" w:rsidRPr="0064193A" w:rsidRDefault="006D7E11" w:rsidP="00414A8E">
      <w:pPr>
        <w:spacing w:after="0" w:line="240" w:lineRule="auto"/>
        <w:rPr>
          <w:rFonts w:ascii="Arial" w:hAnsi="Arial" w:cs="Arial"/>
          <w:b/>
        </w:rPr>
      </w:pPr>
      <w:r w:rsidRPr="0064193A">
        <w:rPr>
          <w:rFonts w:ascii="Arial" w:hAnsi="Arial" w:cs="Arial"/>
          <w:b/>
        </w:rPr>
        <w:t xml:space="preserve">Research OR Scholarship/Professional Practice </w:t>
      </w:r>
    </w:p>
    <w:p w14:paraId="62EBF3C5" w14:textId="77777777" w:rsidR="0064193A" w:rsidRPr="0064193A" w:rsidRDefault="0064193A" w:rsidP="00414A8E">
      <w:pPr>
        <w:spacing w:after="0" w:line="240" w:lineRule="auto"/>
        <w:rPr>
          <w:rFonts w:ascii="Arial" w:hAnsi="Arial" w:cs="Arial"/>
        </w:rPr>
      </w:pPr>
    </w:p>
    <w:p w14:paraId="621A1B79" w14:textId="77777777" w:rsidR="0064193A" w:rsidRPr="0064193A" w:rsidRDefault="006D7E11" w:rsidP="00FE5C3D">
      <w:pPr>
        <w:spacing w:after="0" w:line="240" w:lineRule="auto"/>
        <w:ind w:left="284"/>
        <w:rPr>
          <w:rFonts w:ascii="Arial" w:hAnsi="Arial" w:cs="Arial"/>
        </w:rPr>
      </w:pPr>
      <w:r w:rsidRPr="0064193A">
        <w:rPr>
          <w:rFonts w:ascii="Arial" w:hAnsi="Arial" w:cs="Arial"/>
        </w:rPr>
        <w:t>Examples could include (but not be limited to) one or more of the following:</w:t>
      </w:r>
    </w:p>
    <w:p w14:paraId="6D98A12B" w14:textId="77777777" w:rsidR="0064193A" w:rsidRPr="0064193A" w:rsidRDefault="0064193A" w:rsidP="00FE5C3D">
      <w:pPr>
        <w:spacing w:after="0" w:line="240" w:lineRule="auto"/>
        <w:ind w:left="284"/>
        <w:rPr>
          <w:rFonts w:ascii="Arial" w:hAnsi="Arial" w:cs="Arial"/>
        </w:rPr>
      </w:pPr>
    </w:p>
    <w:p w14:paraId="6586D845" w14:textId="01D46CCF" w:rsidR="0064193A" w:rsidRPr="00890839" w:rsidRDefault="1929E3FF" w:rsidP="00890839">
      <w:pPr>
        <w:pStyle w:val="ListParagraph"/>
        <w:numPr>
          <w:ilvl w:val="0"/>
          <w:numId w:val="12"/>
        </w:numPr>
        <w:spacing w:after="0" w:line="240" w:lineRule="auto"/>
        <w:rPr>
          <w:rFonts w:ascii="Arial" w:hAnsi="Arial" w:cs="Arial"/>
        </w:rPr>
      </w:pPr>
      <w:r w:rsidRPr="00890839">
        <w:rPr>
          <w:rFonts w:ascii="Arial" w:hAnsi="Arial" w:cs="Arial"/>
        </w:rPr>
        <w:t xml:space="preserve">Achieving prestigious and/or high value grant success relative to the discipline. </w:t>
      </w:r>
    </w:p>
    <w:p w14:paraId="2946DB82" w14:textId="77777777" w:rsidR="0064193A" w:rsidRPr="0064193A" w:rsidRDefault="0064193A" w:rsidP="00FE5C3D">
      <w:pPr>
        <w:spacing w:after="0" w:line="240" w:lineRule="auto"/>
        <w:ind w:left="426"/>
        <w:rPr>
          <w:rFonts w:ascii="Arial" w:hAnsi="Arial" w:cs="Arial"/>
        </w:rPr>
      </w:pPr>
    </w:p>
    <w:p w14:paraId="320F2F47" w14:textId="250B2ACF" w:rsidR="0064193A" w:rsidRPr="00890839" w:rsidRDefault="1929E3FF" w:rsidP="00890839">
      <w:pPr>
        <w:pStyle w:val="ListParagraph"/>
        <w:numPr>
          <w:ilvl w:val="0"/>
          <w:numId w:val="12"/>
        </w:numPr>
        <w:spacing w:after="0" w:line="240" w:lineRule="auto"/>
        <w:rPr>
          <w:rFonts w:ascii="Arial" w:hAnsi="Arial" w:cs="Arial"/>
        </w:rPr>
      </w:pPr>
      <w:r w:rsidRPr="00890839">
        <w:rPr>
          <w:rFonts w:ascii="Arial" w:hAnsi="Arial" w:cs="Arial"/>
        </w:rPr>
        <w:t xml:space="preserve">Consistent and sustained success in securing significant external funding in relation to discipline-specific norms. </w:t>
      </w:r>
    </w:p>
    <w:p w14:paraId="4E60A7F9" w14:textId="432B09A7" w:rsidR="0064193A" w:rsidRPr="0064193A" w:rsidRDefault="0064193A" w:rsidP="1929E3FF">
      <w:pPr>
        <w:spacing w:after="0" w:line="240" w:lineRule="auto"/>
        <w:ind w:left="426"/>
        <w:rPr>
          <w:rFonts w:ascii="Arial" w:hAnsi="Arial" w:cs="Arial"/>
        </w:rPr>
      </w:pPr>
    </w:p>
    <w:p w14:paraId="11409CE8" w14:textId="5DF01865" w:rsidR="0064193A" w:rsidRPr="00890839" w:rsidRDefault="15AAF32D" w:rsidP="00890839">
      <w:pPr>
        <w:pStyle w:val="ListParagraph"/>
        <w:numPr>
          <w:ilvl w:val="0"/>
          <w:numId w:val="12"/>
        </w:numPr>
        <w:spacing w:after="0" w:line="240" w:lineRule="auto"/>
        <w:rPr>
          <w:rFonts w:ascii="Arial" w:hAnsi="Arial" w:cs="Arial"/>
        </w:rPr>
      </w:pPr>
      <w:r w:rsidRPr="00890839">
        <w:rPr>
          <w:rFonts w:ascii="Arial" w:hAnsi="Arial" w:cs="Arial"/>
        </w:rPr>
        <w:t>Demonstrating the successful application of research through significant external impact.</w:t>
      </w:r>
    </w:p>
    <w:p w14:paraId="0CCF5CE7" w14:textId="43BA1FD3" w:rsidR="1929E3FF" w:rsidRDefault="1929E3FF" w:rsidP="1929E3FF">
      <w:pPr>
        <w:spacing w:after="0" w:line="240" w:lineRule="auto"/>
        <w:ind w:left="426"/>
        <w:rPr>
          <w:rFonts w:ascii="Arial" w:hAnsi="Arial" w:cs="Arial"/>
        </w:rPr>
      </w:pPr>
    </w:p>
    <w:p w14:paraId="3ABF037C" w14:textId="42048467" w:rsidR="1929E3FF" w:rsidRDefault="15AAF32D" w:rsidP="00890839">
      <w:pPr>
        <w:pStyle w:val="ListParagraph"/>
        <w:numPr>
          <w:ilvl w:val="0"/>
          <w:numId w:val="12"/>
        </w:numPr>
        <w:spacing w:after="0" w:line="240" w:lineRule="auto"/>
        <w:rPr>
          <w:rFonts w:eastAsiaTheme="minorEastAsia"/>
        </w:rPr>
      </w:pPr>
      <w:r w:rsidRPr="15AAF32D">
        <w:rPr>
          <w:rFonts w:ascii="Arial" w:hAnsi="Arial" w:cs="Arial"/>
        </w:rPr>
        <w:t>Significant contributions to knowledge exchange, including securing contract research or consultancy income (do not include consultancy income that has not been received through the University).</w:t>
      </w:r>
    </w:p>
    <w:p w14:paraId="34B04B76" w14:textId="7D9BC283" w:rsidR="1929E3FF" w:rsidRDefault="1929E3FF" w:rsidP="001729A9">
      <w:pPr>
        <w:spacing w:after="0" w:line="240" w:lineRule="auto"/>
        <w:rPr>
          <w:rFonts w:ascii="Arial" w:hAnsi="Arial" w:cs="Arial"/>
        </w:rPr>
      </w:pPr>
    </w:p>
    <w:p w14:paraId="67BBB26A" w14:textId="0FDBB48D" w:rsidR="1929E3FF" w:rsidRDefault="15AAF32D" w:rsidP="00890839">
      <w:pPr>
        <w:pStyle w:val="ListParagraph"/>
        <w:numPr>
          <w:ilvl w:val="0"/>
          <w:numId w:val="12"/>
        </w:numPr>
        <w:spacing w:after="0" w:line="240" w:lineRule="auto"/>
        <w:rPr>
          <w:rFonts w:eastAsiaTheme="minorEastAsia"/>
        </w:rPr>
      </w:pPr>
      <w:r w:rsidRPr="001729A9">
        <w:rPr>
          <w:rFonts w:ascii="Arial" w:eastAsia="Arial" w:hAnsi="Arial" w:cs="Arial"/>
        </w:rPr>
        <w:t>Presenting evidence of the recognition and visibility of research outputs through, for example, high citations, peer esteem or awards</w:t>
      </w:r>
      <w:r w:rsidRPr="15AAF32D">
        <w:rPr>
          <w:rFonts w:ascii="Arial" w:hAnsi="Arial" w:cs="Arial"/>
        </w:rPr>
        <w:t xml:space="preserve">. </w:t>
      </w:r>
    </w:p>
    <w:p w14:paraId="5997CC1D" w14:textId="77777777" w:rsidR="0064193A" w:rsidRPr="0064193A" w:rsidRDefault="0064193A" w:rsidP="00FE5C3D">
      <w:pPr>
        <w:spacing w:after="0" w:line="240" w:lineRule="auto"/>
        <w:ind w:left="426"/>
        <w:rPr>
          <w:rFonts w:ascii="Arial" w:hAnsi="Arial" w:cs="Arial"/>
        </w:rPr>
      </w:pPr>
    </w:p>
    <w:p w14:paraId="14ACE9B1" w14:textId="4CE619CA" w:rsidR="0064193A" w:rsidRPr="00890839" w:rsidRDefault="1929E3FF" w:rsidP="00890839">
      <w:pPr>
        <w:pStyle w:val="ListParagraph"/>
        <w:numPr>
          <w:ilvl w:val="0"/>
          <w:numId w:val="12"/>
        </w:numPr>
        <w:spacing w:after="0" w:line="240" w:lineRule="auto"/>
        <w:rPr>
          <w:rFonts w:ascii="Arial" w:hAnsi="Arial" w:cs="Arial"/>
        </w:rPr>
      </w:pPr>
      <w:r w:rsidRPr="00890839">
        <w:rPr>
          <w:rFonts w:ascii="Arial" w:hAnsi="Arial" w:cs="Arial"/>
        </w:rPr>
        <w:t>Making a substantial difference to the national or international</w:t>
      </w:r>
      <w:r w:rsidR="001729A9" w:rsidRPr="00890839">
        <w:rPr>
          <w:rFonts w:ascii="Arial" w:hAnsi="Arial" w:cs="Arial"/>
        </w:rPr>
        <w:t xml:space="preserve"> </w:t>
      </w:r>
      <w:r w:rsidRPr="00890839">
        <w:rPr>
          <w:rFonts w:ascii="Arial" w:hAnsi="Arial" w:cs="Arial"/>
        </w:rPr>
        <w:t xml:space="preserve">reputation of the department and/or of the University. </w:t>
      </w:r>
    </w:p>
    <w:p w14:paraId="110FFD37" w14:textId="77777777" w:rsidR="0064193A" w:rsidRPr="0064193A" w:rsidRDefault="0064193A" w:rsidP="00FE5C3D">
      <w:pPr>
        <w:spacing w:after="0" w:line="240" w:lineRule="auto"/>
        <w:ind w:left="426"/>
        <w:rPr>
          <w:rFonts w:ascii="Arial" w:hAnsi="Arial" w:cs="Arial"/>
        </w:rPr>
      </w:pPr>
    </w:p>
    <w:p w14:paraId="15218967" w14:textId="687E78F7" w:rsidR="0064193A" w:rsidRPr="00890839" w:rsidRDefault="1929E3FF" w:rsidP="00890839">
      <w:pPr>
        <w:pStyle w:val="ListParagraph"/>
        <w:numPr>
          <w:ilvl w:val="0"/>
          <w:numId w:val="12"/>
        </w:numPr>
        <w:spacing w:after="0" w:line="240" w:lineRule="auto"/>
        <w:rPr>
          <w:rFonts w:ascii="Arial" w:hAnsi="Arial" w:cs="Arial"/>
        </w:rPr>
      </w:pPr>
      <w:r w:rsidRPr="00890839">
        <w:rPr>
          <w:rFonts w:ascii="Arial" w:hAnsi="Arial" w:cs="Arial"/>
        </w:rPr>
        <w:t xml:space="preserve">Creating significantly productive collaborations with other organisations including partnerships with business/industry/policy/third sector organisations or with professions. </w:t>
      </w:r>
    </w:p>
    <w:p w14:paraId="6B699379" w14:textId="77777777" w:rsidR="0064193A" w:rsidRPr="0064193A" w:rsidRDefault="0064193A" w:rsidP="00FE5C3D">
      <w:pPr>
        <w:spacing w:after="0" w:line="240" w:lineRule="auto"/>
        <w:ind w:left="426"/>
        <w:rPr>
          <w:rFonts w:ascii="Arial" w:hAnsi="Arial" w:cs="Arial"/>
        </w:rPr>
      </w:pPr>
    </w:p>
    <w:p w14:paraId="30BD723D" w14:textId="389B78F6" w:rsidR="0064193A" w:rsidRPr="00890839" w:rsidRDefault="1929E3FF" w:rsidP="00890839">
      <w:pPr>
        <w:pStyle w:val="ListParagraph"/>
        <w:numPr>
          <w:ilvl w:val="0"/>
          <w:numId w:val="12"/>
        </w:numPr>
        <w:spacing w:after="0" w:line="240" w:lineRule="auto"/>
        <w:rPr>
          <w:rFonts w:ascii="Arial" w:hAnsi="Arial" w:cs="Arial"/>
        </w:rPr>
      </w:pPr>
      <w:r w:rsidRPr="00890839">
        <w:rPr>
          <w:rFonts w:ascii="Arial" w:hAnsi="Arial" w:cs="Arial"/>
        </w:rPr>
        <w:t xml:space="preserve">Appointment as member or chair to an external high-profile body or committee. </w:t>
      </w:r>
    </w:p>
    <w:p w14:paraId="1EFDD6C5" w14:textId="25028F16" w:rsidR="0064193A" w:rsidRPr="0064193A" w:rsidRDefault="0064193A" w:rsidP="1929E3FF">
      <w:pPr>
        <w:spacing w:after="0" w:line="240" w:lineRule="auto"/>
        <w:ind w:left="426"/>
        <w:rPr>
          <w:rFonts w:ascii="Arial" w:hAnsi="Arial" w:cs="Arial"/>
        </w:rPr>
      </w:pPr>
    </w:p>
    <w:p w14:paraId="3FE9F23F" w14:textId="77777777" w:rsidR="0064193A" w:rsidRPr="0064193A" w:rsidRDefault="0064193A" w:rsidP="00414A8E">
      <w:pPr>
        <w:spacing w:after="0" w:line="240" w:lineRule="auto"/>
        <w:rPr>
          <w:rFonts w:ascii="Arial" w:hAnsi="Arial" w:cs="Arial"/>
        </w:rPr>
      </w:pPr>
    </w:p>
    <w:p w14:paraId="6D9B9F5E" w14:textId="77777777" w:rsidR="0064193A" w:rsidRPr="0064193A" w:rsidRDefault="006D7E11" w:rsidP="00414A8E">
      <w:pPr>
        <w:spacing w:after="0" w:line="240" w:lineRule="auto"/>
        <w:rPr>
          <w:rFonts w:ascii="Arial" w:hAnsi="Arial" w:cs="Arial"/>
          <w:b/>
        </w:rPr>
      </w:pPr>
      <w:r w:rsidRPr="0064193A">
        <w:rPr>
          <w:rFonts w:ascii="Arial" w:hAnsi="Arial" w:cs="Arial"/>
          <w:b/>
        </w:rPr>
        <w:t xml:space="preserve">Education </w:t>
      </w:r>
    </w:p>
    <w:p w14:paraId="1F72F646" w14:textId="77777777" w:rsidR="0064193A" w:rsidRPr="0064193A" w:rsidRDefault="0064193A" w:rsidP="00414A8E">
      <w:pPr>
        <w:spacing w:after="0" w:line="240" w:lineRule="auto"/>
        <w:rPr>
          <w:rFonts w:ascii="Arial" w:hAnsi="Arial" w:cs="Arial"/>
        </w:rPr>
      </w:pPr>
    </w:p>
    <w:p w14:paraId="322BA7BA" w14:textId="77777777" w:rsidR="0064193A" w:rsidRPr="0064193A" w:rsidRDefault="006D7E11" w:rsidP="00FE5C3D">
      <w:pPr>
        <w:spacing w:after="0" w:line="240" w:lineRule="auto"/>
        <w:ind w:left="284"/>
        <w:rPr>
          <w:rFonts w:ascii="Arial" w:hAnsi="Arial" w:cs="Arial"/>
        </w:rPr>
      </w:pPr>
      <w:r w:rsidRPr="0064193A">
        <w:rPr>
          <w:rFonts w:ascii="Arial" w:hAnsi="Arial" w:cs="Arial"/>
        </w:rPr>
        <w:t xml:space="preserve">Examples could include (but not be limited to) one or more of the following: </w:t>
      </w:r>
    </w:p>
    <w:p w14:paraId="08CE6F91" w14:textId="77777777" w:rsidR="0064193A" w:rsidRPr="0064193A" w:rsidRDefault="0064193A" w:rsidP="00414A8E">
      <w:pPr>
        <w:spacing w:after="0" w:line="240" w:lineRule="auto"/>
        <w:rPr>
          <w:rFonts w:ascii="Arial" w:hAnsi="Arial" w:cs="Arial"/>
        </w:rPr>
      </w:pPr>
    </w:p>
    <w:p w14:paraId="0A42DA9E" w14:textId="2155EB4B" w:rsidR="0064193A" w:rsidRPr="009517EB" w:rsidRDefault="006D7E11" w:rsidP="009517EB">
      <w:pPr>
        <w:pStyle w:val="ListParagraph"/>
        <w:numPr>
          <w:ilvl w:val="0"/>
          <w:numId w:val="9"/>
        </w:numPr>
        <w:spacing w:after="0" w:line="240" w:lineRule="auto"/>
        <w:rPr>
          <w:rFonts w:ascii="Arial" w:hAnsi="Arial" w:cs="Arial"/>
        </w:rPr>
      </w:pPr>
      <w:r w:rsidRPr="009517EB">
        <w:rPr>
          <w:rFonts w:ascii="Arial" w:hAnsi="Arial" w:cs="Arial"/>
        </w:rPr>
        <w:t xml:space="preserve">Devising and introducing an innovative change that has a direct significant impact on improving student satisfaction or student recruitment. </w:t>
      </w:r>
    </w:p>
    <w:p w14:paraId="61CDCEAD" w14:textId="77777777" w:rsidR="0064193A" w:rsidRPr="0064193A" w:rsidRDefault="0064193A" w:rsidP="009517EB">
      <w:pPr>
        <w:spacing w:after="0" w:line="240" w:lineRule="auto"/>
        <w:ind w:left="426"/>
        <w:rPr>
          <w:rFonts w:ascii="Arial" w:hAnsi="Arial" w:cs="Arial"/>
        </w:rPr>
      </w:pPr>
    </w:p>
    <w:p w14:paraId="6A23C024" w14:textId="50CAD5DA" w:rsidR="0064193A" w:rsidRPr="009517EB" w:rsidRDefault="006D7E11" w:rsidP="009517EB">
      <w:pPr>
        <w:pStyle w:val="ListParagraph"/>
        <w:numPr>
          <w:ilvl w:val="0"/>
          <w:numId w:val="9"/>
        </w:numPr>
        <w:spacing w:after="0" w:line="240" w:lineRule="auto"/>
        <w:rPr>
          <w:rFonts w:ascii="Arial" w:hAnsi="Arial" w:cs="Arial"/>
        </w:rPr>
      </w:pPr>
      <w:r w:rsidRPr="009517EB">
        <w:rPr>
          <w:rFonts w:ascii="Arial" w:hAnsi="Arial" w:cs="Arial"/>
        </w:rPr>
        <w:t xml:space="preserve">Developing and implementing a new system that demonstrably enhances student learning, assessment or feedback. </w:t>
      </w:r>
    </w:p>
    <w:p w14:paraId="6BB9E253" w14:textId="77777777" w:rsidR="0064193A" w:rsidRPr="0064193A" w:rsidRDefault="0064193A" w:rsidP="009517EB">
      <w:pPr>
        <w:spacing w:after="0" w:line="240" w:lineRule="auto"/>
        <w:ind w:left="426"/>
        <w:rPr>
          <w:rFonts w:ascii="Arial" w:hAnsi="Arial" w:cs="Arial"/>
        </w:rPr>
      </w:pPr>
    </w:p>
    <w:p w14:paraId="598389AE" w14:textId="29147E18" w:rsidR="0064193A" w:rsidRPr="009517EB" w:rsidRDefault="1929E3FF" w:rsidP="009517EB">
      <w:pPr>
        <w:pStyle w:val="ListParagraph"/>
        <w:numPr>
          <w:ilvl w:val="0"/>
          <w:numId w:val="9"/>
        </w:numPr>
        <w:spacing w:after="0" w:line="240" w:lineRule="auto"/>
        <w:rPr>
          <w:rFonts w:ascii="Arial" w:hAnsi="Arial" w:cs="Arial"/>
        </w:rPr>
      </w:pPr>
      <w:r w:rsidRPr="009517EB">
        <w:rPr>
          <w:rFonts w:ascii="Arial" w:hAnsi="Arial" w:cs="Arial"/>
        </w:rPr>
        <w:t>Making significant contributions to the advancement of education.</w:t>
      </w:r>
    </w:p>
    <w:p w14:paraId="1F9E2AE1" w14:textId="51D559C7" w:rsidR="0064193A" w:rsidRPr="0064193A" w:rsidRDefault="0064193A" w:rsidP="009517EB">
      <w:pPr>
        <w:spacing w:after="0" w:line="240" w:lineRule="auto"/>
        <w:ind w:left="426"/>
        <w:rPr>
          <w:rFonts w:ascii="Arial" w:hAnsi="Arial" w:cs="Arial"/>
        </w:rPr>
      </w:pPr>
    </w:p>
    <w:p w14:paraId="0F5B0F5A" w14:textId="122F5479" w:rsidR="0064193A" w:rsidRPr="009517EB" w:rsidRDefault="1929E3FF" w:rsidP="009517EB">
      <w:pPr>
        <w:pStyle w:val="ListParagraph"/>
        <w:numPr>
          <w:ilvl w:val="0"/>
          <w:numId w:val="9"/>
        </w:numPr>
        <w:spacing w:after="0" w:line="240" w:lineRule="auto"/>
        <w:rPr>
          <w:rFonts w:eastAsiaTheme="minorEastAsia"/>
        </w:rPr>
      </w:pPr>
      <w:r w:rsidRPr="009517EB">
        <w:rPr>
          <w:rFonts w:ascii="Arial" w:hAnsi="Arial" w:cs="Arial"/>
        </w:rPr>
        <w:t>Devising and introducing an innovative change that has a direct significant impact on improving graduate outcomes.</w:t>
      </w:r>
    </w:p>
    <w:p w14:paraId="534D3A89" w14:textId="2F78C6FF" w:rsidR="0064193A" w:rsidRPr="0064193A" w:rsidRDefault="0064193A" w:rsidP="009517EB">
      <w:pPr>
        <w:spacing w:after="0" w:line="240" w:lineRule="auto"/>
        <w:ind w:left="426"/>
        <w:rPr>
          <w:rFonts w:ascii="Arial" w:hAnsi="Arial" w:cs="Arial"/>
        </w:rPr>
      </w:pPr>
    </w:p>
    <w:p w14:paraId="2E2869F9" w14:textId="1E93DCBF" w:rsidR="0064193A" w:rsidRPr="009517EB" w:rsidRDefault="1929E3FF" w:rsidP="009517EB">
      <w:pPr>
        <w:pStyle w:val="ListParagraph"/>
        <w:numPr>
          <w:ilvl w:val="0"/>
          <w:numId w:val="9"/>
        </w:numPr>
        <w:spacing w:after="0" w:line="240" w:lineRule="auto"/>
        <w:rPr>
          <w:rFonts w:eastAsiaTheme="minorEastAsia"/>
        </w:rPr>
      </w:pPr>
      <w:r w:rsidRPr="009517EB">
        <w:rPr>
          <w:rFonts w:ascii="Arial" w:hAnsi="Arial" w:cs="Arial"/>
        </w:rPr>
        <w:t>Making significant contributions to the development and/or growth of education partnerships.</w:t>
      </w:r>
    </w:p>
    <w:p w14:paraId="23DE523C" w14:textId="77777777" w:rsidR="0064193A" w:rsidRPr="0064193A" w:rsidRDefault="0064193A" w:rsidP="009517EB">
      <w:pPr>
        <w:spacing w:after="0" w:line="240" w:lineRule="auto"/>
        <w:ind w:left="426"/>
        <w:rPr>
          <w:rFonts w:ascii="Arial" w:hAnsi="Arial" w:cs="Arial"/>
        </w:rPr>
      </w:pPr>
    </w:p>
    <w:p w14:paraId="1FC92DB6" w14:textId="16F7DE86" w:rsidR="0064193A" w:rsidRPr="009517EB" w:rsidRDefault="1929E3FF" w:rsidP="009517EB">
      <w:pPr>
        <w:pStyle w:val="ListParagraph"/>
        <w:numPr>
          <w:ilvl w:val="0"/>
          <w:numId w:val="9"/>
        </w:numPr>
        <w:spacing w:after="0" w:line="240" w:lineRule="auto"/>
        <w:rPr>
          <w:rFonts w:ascii="Arial" w:hAnsi="Arial" w:cs="Arial"/>
        </w:rPr>
      </w:pPr>
      <w:r w:rsidRPr="009517EB">
        <w:rPr>
          <w:rFonts w:ascii="Arial" w:hAnsi="Arial" w:cs="Arial"/>
        </w:rPr>
        <w:t xml:space="preserve">Continuously innovating and advancing learning resulting in increased student satisfaction. </w:t>
      </w:r>
    </w:p>
    <w:p w14:paraId="016B8995" w14:textId="75C21886" w:rsidR="1929E3FF" w:rsidRDefault="1929E3FF" w:rsidP="009517EB">
      <w:pPr>
        <w:spacing w:after="0" w:line="240" w:lineRule="auto"/>
        <w:ind w:left="426"/>
        <w:rPr>
          <w:rFonts w:ascii="Arial" w:hAnsi="Arial" w:cs="Arial"/>
        </w:rPr>
      </w:pPr>
    </w:p>
    <w:p w14:paraId="277FA702" w14:textId="0F5424A6" w:rsidR="1929E3FF" w:rsidRPr="009517EB" w:rsidRDefault="1929E3FF" w:rsidP="009517EB">
      <w:pPr>
        <w:pStyle w:val="ListParagraph"/>
        <w:numPr>
          <w:ilvl w:val="0"/>
          <w:numId w:val="9"/>
        </w:numPr>
        <w:spacing w:after="0" w:line="240" w:lineRule="auto"/>
        <w:rPr>
          <w:rFonts w:eastAsiaTheme="minorEastAsia"/>
        </w:rPr>
      </w:pPr>
      <w:r w:rsidRPr="009517EB">
        <w:rPr>
          <w:rFonts w:ascii="Arial" w:hAnsi="Arial" w:cs="Arial"/>
        </w:rPr>
        <w:t xml:space="preserve">Leading the development and/or delivery of new education provision, including CPD and short courses. </w:t>
      </w:r>
    </w:p>
    <w:p w14:paraId="4F86EA19" w14:textId="0DE69E90" w:rsidR="1929E3FF" w:rsidRDefault="1929E3FF" w:rsidP="1929E3FF">
      <w:pPr>
        <w:spacing w:after="0" w:line="240" w:lineRule="auto"/>
        <w:ind w:left="426"/>
        <w:rPr>
          <w:rFonts w:ascii="Arial" w:hAnsi="Arial" w:cs="Arial"/>
        </w:rPr>
      </w:pPr>
    </w:p>
    <w:p w14:paraId="78FCCF20" w14:textId="7879C0BD" w:rsidR="1929E3FF" w:rsidRDefault="1929E3FF" w:rsidP="001729A9">
      <w:pPr>
        <w:pStyle w:val="ListParagraph"/>
        <w:numPr>
          <w:ilvl w:val="0"/>
          <w:numId w:val="4"/>
        </w:numPr>
        <w:spacing w:after="0" w:line="240" w:lineRule="auto"/>
        <w:rPr>
          <w:rFonts w:eastAsiaTheme="minorEastAsia"/>
        </w:rPr>
      </w:pPr>
      <w:r w:rsidRPr="1929E3FF">
        <w:rPr>
          <w:rFonts w:ascii="Arial" w:hAnsi="Arial" w:cs="Arial"/>
        </w:rPr>
        <w:t>Making a substantial contribution to the national or international reputation of the University for high-quality education.</w:t>
      </w:r>
    </w:p>
    <w:p w14:paraId="52E56223" w14:textId="77777777" w:rsidR="0064193A" w:rsidRPr="0064193A" w:rsidRDefault="0064193A" w:rsidP="00FE5C3D">
      <w:pPr>
        <w:spacing w:after="0" w:line="240" w:lineRule="auto"/>
        <w:ind w:left="426"/>
        <w:rPr>
          <w:rFonts w:ascii="Arial" w:hAnsi="Arial" w:cs="Arial"/>
        </w:rPr>
      </w:pPr>
    </w:p>
    <w:p w14:paraId="6AB2F663" w14:textId="29885D96" w:rsidR="0064193A" w:rsidRPr="0064193A" w:rsidRDefault="1929E3FF" w:rsidP="00FE5C3D">
      <w:pPr>
        <w:spacing w:after="0" w:line="240" w:lineRule="auto"/>
        <w:ind w:left="426"/>
        <w:rPr>
          <w:rFonts w:ascii="Arial" w:hAnsi="Arial" w:cs="Arial"/>
        </w:rPr>
      </w:pPr>
      <w:r w:rsidRPr="1929E3FF">
        <w:rPr>
          <w:rFonts w:ascii="Symbol" w:eastAsia="Symbol" w:hAnsi="Symbol" w:cs="Symbol"/>
        </w:rPr>
        <w:t>·</w:t>
      </w:r>
      <w:r w:rsidRPr="1929E3FF">
        <w:rPr>
          <w:rFonts w:ascii="Arial" w:hAnsi="Arial" w:cs="Arial"/>
        </w:rPr>
        <w:t xml:space="preserve"> Developing areas of best practice that are then implemented across the University. </w:t>
      </w:r>
    </w:p>
    <w:p w14:paraId="07547A01" w14:textId="77777777" w:rsidR="0064193A" w:rsidRPr="0064193A" w:rsidRDefault="0064193A" w:rsidP="00414A8E">
      <w:pPr>
        <w:spacing w:after="0" w:line="240" w:lineRule="auto"/>
        <w:rPr>
          <w:rFonts w:ascii="Arial" w:hAnsi="Arial" w:cs="Arial"/>
        </w:rPr>
      </w:pPr>
    </w:p>
    <w:p w14:paraId="5327A9B4" w14:textId="77777777" w:rsidR="0064193A" w:rsidRPr="0064193A" w:rsidRDefault="006D7E11" w:rsidP="00414A8E">
      <w:pPr>
        <w:spacing w:after="0" w:line="240" w:lineRule="auto"/>
        <w:rPr>
          <w:rFonts w:ascii="Arial" w:hAnsi="Arial" w:cs="Arial"/>
          <w:b/>
        </w:rPr>
      </w:pPr>
      <w:r w:rsidRPr="0064193A">
        <w:rPr>
          <w:rFonts w:ascii="Arial" w:hAnsi="Arial" w:cs="Arial"/>
          <w:b/>
        </w:rPr>
        <w:t xml:space="preserve">Leadership/Citizenship </w:t>
      </w:r>
    </w:p>
    <w:p w14:paraId="5043CB0F" w14:textId="77777777" w:rsidR="0064193A" w:rsidRPr="0064193A" w:rsidRDefault="0064193A" w:rsidP="00414A8E">
      <w:pPr>
        <w:spacing w:after="0" w:line="240" w:lineRule="auto"/>
        <w:rPr>
          <w:rFonts w:ascii="Arial" w:hAnsi="Arial" w:cs="Arial"/>
        </w:rPr>
      </w:pPr>
    </w:p>
    <w:p w14:paraId="5E8E1961" w14:textId="77777777" w:rsidR="0064193A" w:rsidRPr="0064193A" w:rsidRDefault="006D7E11" w:rsidP="00FE5C3D">
      <w:pPr>
        <w:spacing w:after="0" w:line="240" w:lineRule="auto"/>
        <w:ind w:left="284"/>
        <w:rPr>
          <w:rFonts w:ascii="Arial" w:hAnsi="Arial" w:cs="Arial"/>
        </w:rPr>
      </w:pPr>
      <w:r w:rsidRPr="0064193A">
        <w:rPr>
          <w:rFonts w:ascii="Arial" w:hAnsi="Arial" w:cs="Arial"/>
        </w:rPr>
        <w:t xml:space="preserve">Examples could include (but not be limited to) one or more of the following: </w:t>
      </w:r>
    </w:p>
    <w:p w14:paraId="07459315" w14:textId="77777777" w:rsidR="0064193A" w:rsidRPr="0064193A" w:rsidRDefault="0064193A" w:rsidP="00414A8E">
      <w:pPr>
        <w:spacing w:after="0" w:line="240" w:lineRule="auto"/>
        <w:rPr>
          <w:rFonts w:ascii="Arial" w:hAnsi="Arial" w:cs="Arial"/>
        </w:rPr>
      </w:pPr>
    </w:p>
    <w:p w14:paraId="117AF02E" w14:textId="4A3BD6BA" w:rsidR="0064193A" w:rsidRPr="00890839" w:rsidRDefault="1929E3FF" w:rsidP="00890839">
      <w:pPr>
        <w:pStyle w:val="ListParagraph"/>
        <w:numPr>
          <w:ilvl w:val="0"/>
          <w:numId w:val="4"/>
        </w:numPr>
        <w:spacing w:after="0" w:line="240" w:lineRule="auto"/>
        <w:rPr>
          <w:rFonts w:ascii="Arial" w:hAnsi="Arial" w:cs="Arial"/>
        </w:rPr>
      </w:pPr>
      <w:r w:rsidRPr="00890839">
        <w:rPr>
          <w:rFonts w:ascii="Arial" w:hAnsi="Arial" w:cs="Arial"/>
        </w:rPr>
        <w:t>Providing leadership in your department, faculty or pan-university that results in significant measurable improvements to education (for example, successful development and leadership of projects to improve quality of teaching, student experience, continuation, graduate outcomes) or research (for example, significant improvements in grant capture, citations, research visibility) outcomes.</w:t>
      </w:r>
    </w:p>
    <w:p w14:paraId="64A1FB23" w14:textId="361A7A85" w:rsidR="0064193A" w:rsidRPr="0064193A" w:rsidRDefault="0064193A" w:rsidP="1929E3FF">
      <w:pPr>
        <w:spacing w:after="0" w:line="240" w:lineRule="auto"/>
        <w:ind w:left="426"/>
        <w:rPr>
          <w:rFonts w:ascii="Arial" w:hAnsi="Arial" w:cs="Arial"/>
        </w:rPr>
      </w:pPr>
    </w:p>
    <w:p w14:paraId="387AB537" w14:textId="5F30F4CC" w:rsidR="0064193A" w:rsidRPr="0064193A" w:rsidRDefault="1929E3FF" w:rsidP="00890839">
      <w:pPr>
        <w:pStyle w:val="ListParagraph"/>
        <w:numPr>
          <w:ilvl w:val="0"/>
          <w:numId w:val="4"/>
        </w:numPr>
        <w:spacing w:after="0" w:line="240" w:lineRule="auto"/>
        <w:rPr>
          <w:rFonts w:eastAsiaTheme="minorEastAsia"/>
        </w:rPr>
      </w:pPr>
      <w:r w:rsidRPr="1929E3FF">
        <w:rPr>
          <w:rFonts w:ascii="Arial" w:hAnsi="Arial" w:cs="Arial"/>
        </w:rPr>
        <w:t xml:space="preserve">Taking on substantial additional work or projects during the year and demonstrating the impact of these contributions. </w:t>
      </w:r>
    </w:p>
    <w:p w14:paraId="6537F28F" w14:textId="77777777" w:rsidR="0064193A" w:rsidRPr="0064193A" w:rsidRDefault="0064193A" w:rsidP="00FE5C3D">
      <w:pPr>
        <w:spacing w:after="0" w:line="240" w:lineRule="auto"/>
        <w:ind w:left="426"/>
        <w:rPr>
          <w:rFonts w:ascii="Arial" w:hAnsi="Arial" w:cs="Arial"/>
        </w:rPr>
      </w:pPr>
    </w:p>
    <w:p w14:paraId="3C37FAAD" w14:textId="0371742D" w:rsidR="0064193A" w:rsidRPr="00890839" w:rsidRDefault="1929E3FF" w:rsidP="00890839">
      <w:pPr>
        <w:pStyle w:val="ListParagraph"/>
        <w:numPr>
          <w:ilvl w:val="0"/>
          <w:numId w:val="4"/>
        </w:numPr>
        <w:spacing w:after="0" w:line="240" w:lineRule="auto"/>
        <w:rPr>
          <w:rFonts w:ascii="Arial" w:hAnsi="Arial" w:cs="Arial"/>
        </w:rPr>
      </w:pPr>
      <w:r w:rsidRPr="00890839">
        <w:rPr>
          <w:rFonts w:ascii="Arial" w:hAnsi="Arial" w:cs="Arial"/>
        </w:rPr>
        <w:t xml:space="preserve">Identifying areas for improvement and taking ownership and action to address these. </w:t>
      </w:r>
    </w:p>
    <w:p w14:paraId="19CC73E0" w14:textId="2ED4A275" w:rsidR="1929E3FF" w:rsidRDefault="1929E3FF" w:rsidP="1929E3FF">
      <w:pPr>
        <w:spacing w:after="0" w:line="240" w:lineRule="auto"/>
        <w:ind w:left="426"/>
        <w:rPr>
          <w:rFonts w:ascii="Arial" w:hAnsi="Arial" w:cs="Arial"/>
        </w:rPr>
      </w:pPr>
    </w:p>
    <w:p w14:paraId="208532A3" w14:textId="1124B15D" w:rsidR="1929E3FF" w:rsidRDefault="1929E3FF" w:rsidP="00890839">
      <w:pPr>
        <w:pStyle w:val="ListParagraph"/>
        <w:numPr>
          <w:ilvl w:val="0"/>
          <w:numId w:val="4"/>
        </w:numPr>
        <w:spacing w:after="0" w:line="240" w:lineRule="auto"/>
        <w:rPr>
          <w:rFonts w:eastAsiaTheme="minorEastAsia"/>
        </w:rPr>
      </w:pPr>
      <w:r w:rsidRPr="1929E3FF">
        <w:rPr>
          <w:rFonts w:ascii="Arial" w:hAnsi="Arial" w:cs="Arial"/>
        </w:rPr>
        <w:t>Making significant contributions to student recruitment, including the development and growth of new recruitment partnerships.</w:t>
      </w:r>
    </w:p>
    <w:p w14:paraId="6DFB9E20" w14:textId="77777777" w:rsidR="0064193A" w:rsidRPr="0064193A" w:rsidRDefault="0064193A" w:rsidP="00FE5C3D">
      <w:pPr>
        <w:spacing w:after="0" w:line="240" w:lineRule="auto"/>
        <w:ind w:left="426"/>
        <w:rPr>
          <w:rFonts w:ascii="Arial" w:hAnsi="Arial" w:cs="Arial"/>
        </w:rPr>
      </w:pPr>
    </w:p>
    <w:p w14:paraId="596A1489" w14:textId="03824BF8" w:rsidR="0064193A" w:rsidRPr="00890839" w:rsidRDefault="1929E3FF" w:rsidP="00890839">
      <w:pPr>
        <w:pStyle w:val="ListParagraph"/>
        <w:numPr>
          <w:ilvl w:val="0"/>
          <w:numId w:val="4"/>
        </w:numPr>
        <w:spacing w:after="0" w:line="240" w:lineRule="auto"/>
        <w:rPr>
          <w:rFonts w:ascii="Arial" w:hAnsi="Arial" w:cs="Arial"/>
        </w:rPr>
      </w:pPr>
      <w:r w:rsidRPr="00890839">
        <w:rPr>
          <w:rFonts w:ascii="Arial" w:hAnsi="Arial" w:cs="Arial"/>
        </w:rPr>
        <w:t xml:space="preserve">Demonstrating commitment significantly to increase public engagement and participation. </w:t>
      </w:r>
    </w:p>
    <w:p w14:paraId="0DF76A06" w14:textId="38242E61" w:rsidR="1929E3FF" w:rsidRDefault="1929E3FF" w:rsidP="1929E3FF">
      <w:pPr>
        <w:spacing w:after="0" w:line="240" w:lineRule="auto"/>
        <w:ind w:left="426"/>
        <w:rPr>
          <w:rFonts w:ascii="Arial" w:hAnsi="Arial" w:cs="Arial"/>
        </w:rPr>
      </w:pPr>
    </w:p>
    <w:p w14:paraId="5B44E7ED" w14:textId="254A1EA7" w:rsidR="1929E3FF" w:rsidRDefault="1929E3FF" w:rsidP="00890839">
      <w:pPr>
        <w:pStyle w:val="ListParagraph"/>
        <w:numPr>
          <w:ilvl w:val="0"/>
          <w:numId w:val="4"/>
        </w:numPr>
        <w:spacing w:after="0" w:line="240" w:lineRule="auto"/>
        <w:rPr>
          <w:rFonts w:eastAsiaTheme="minorEastAsia"/>
        </w:rPr>
      </w:pPr>
      <w:r w:rsidRPr="1929E3FF">
        <w:rPr>
          <w:rFonts w:ascii="Arial" w:hAnsi="Arial" w:cs="Arial"/>
        </w:rPr>
        <w:t>Providing exceptional support for colleagues in your department, for example through mentoring or leading professional development programmes</w:t>
      </w:r>
    </w:p>
    <w:p w14:paraId="70DF9E56" w14:textId="77777777" w:rsidR="0064193A" w:rsidRPr="0064193A" w:rsidRDefault="0064193A" w:rsidP="00FE5C3D">
      <w:pPr>
        <w:spacing w:after="0" w:line="240" w:lineRule="auto"/>
        <w:ind w:left="426"/>
        <w:rPr>
          <w:rFonts w:ascii="Arial" w:hAnsi="Arial" w:cs="Arial"/>
        </w:rPr>
      </w:pPr>
    </w:p>
    <w:p w14:paraId="79C74BE2" w14:textId="6A960EF6" w:rsidR="00D6483B" w:rsidRPr="00890839" w:rsidRDefault="006D7E11" w:rsidP="00890839">
      <w:pPr>
        <w:pStyle w:val="ListParagraph"/>
        <w:numPr>
          <w:ilvl w:val="0"/>
          <w:numId w:val="4"/>
        </w:numPr>
        <w:spacing w:after="0" w:line="240" w:lineRule="auto"/>
        <w:rPr>
          <w:rFonts w:ascii="Arial" w:hAnsi="Arial" w:cs="Arial"/>
        </w:rPr>
      </w:pPr>
      <w:r w:rsidRPr="00890839">
        <w:rPr>
          <w:rFonts w:ascii="Arial" w:hAnsi="Arial" w:cs="Arial"/>
        </w:rPr>
        <w:t>Evidence of substantial contribution to greater efficiency and effectiveness either within the department or across the University</w:t>
      </w:r>
      <w:r w:rsidR="0053285C" w:rsidRPr="00890839">
        <w:rPr>
          <w:rFonts w:ascii="Arial" w:hAnsi="Arial" w:cs="Arial"/>
        </w:rPr>
        <w:t>.</w:t>
      </w:r>
    </w:p>
    <w:sectPr w:rsidR="00D6483B" w:rsidRPr="008908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871BC" w14:textId="77777777" w:rsidR="00932552" w:rsidRDefault="00932552" w:rsidP="00932552">
      <w:pPr>
        <w:spacing w:after="0" w:line="240" w:lineRule="auto"/>
      </w:pPr>
      <w:r>
        <w:separator/>
      </w:r>
    </w:p>
  </w:endnote>
  <w:endnote w:type="continuationSeparator" w:id="0">
    <w:p w14:paraId="144A5D23" w14:textId="77777777" w:rsidR="00932552" w:rsidRDefault="00932552" w:rsidP="00932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610EB" w14:textId="77777777" w:rsidR="00932552" w:rsidRDefault="00932552" w:rsidP="00932552">
      <w:pPr>
        <w:spacing w:after="0" w:line="240" w:lineRule="auto"/>
      </w:pPr>
      <w:r>
        <w:separator/>
      </w:r>
    </w:p>
  </w:footnote>
  <w:footnote w:type="continuationSeparator" w:id="0">
    <w:p w14:paraId="637805D2" w14:textId="77777777" w:rsidR="00932552" w:rsidRDefault="00932552" w:rsidP="00932552">
      <w:pPr>
        <w:spacing w:after="0" w:line="240" w:lineRule="auto"/>
      </w:pPr>
      <w:r>
        <w:continuationSeparator/>
      </w:r>
    </w:p>
  </w:footnote>
  <w:footnote w:id="1">
    <w:p w14:paraId="49507ACA" w14:textId="77777777" w:rsidR="00932552" w:rsidRDefault="00932552">
      <w:pPr>
        <w:pStyle w:val="FootnoteText"/>
      </w:pPr>
      <w:r>
        <w:rPr>
          <w:rStyle w:val="FootnoteReference"/>
        </w:rPr>
        <w:footnoteRef/>
      </w:r>
      <w:r>
        <w:t xml:space="preserve"> </w:t>
      </w:r>
      <w:r w:rsidRPr="00932552">
        <w:t>Members of staff at the top of their grade may apply for a performance-related discretionary increment. In exceptional circumstances, those members of staff not at the top of their grade may be considered for a performance-related increment which will be in addition to the automatic increment they would be due to receive.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814FD"/>
    <w:multiLevelType w:val="hybridMultilevel"/>
    <w:tmpl w:val="AC1E9A6C"/>
    <w:lvl w:ilvl="0" w:tplc="98D8441E">
      <w:start w:val="1"/>
      <w:numFmt w:val="bullet"/>
      <w:lvlText w:val=""/>
      <w:lvlJc w:val="left"/>
      <w:pPr>
        <w:ind w:left="720" w:hanging="360"/>
      </w:pPr>
      <w:rPr>
        <w:rFonts w:ascii="Symbol" w:hAnsi="Symbol" w:hint="default"/>
      </w:rPr>
    </w:lvl>
    <w:lvl w:ilvl="1" w:tplc="BBAE9DC4">
      <w:start w:val="1"/>
      <w:numFmt w:val="bullet"/>
      <w:lvlText w:val="o"/>
      <w:lvlJc w:val="left"/>
      <w:pPr>
        <w:ind w:left="1440" w:hanging="360"/>
      </w:pPr>
      <w:rPr>
        <w:rFonts w:ascii="Courier New" w:hAnsi="Courier New" w:hint="default"/>
      </w:rPr>
    </w:lvl>
    <w:lvl w:ilvl="2" w:tplc="11289B78">
      <w:start w:val="1"/>
      <w:numFmt w:val="bullet"/>
      <w:lvlText w:val=""/>
      <w:lvlJc w:val="left"/>
      <w:pPr>
        <w:ind w:left="2160" w:hanging="360"/>
      </w:pPr>
      <w:rPr>
        <w:rFonts w:ascii="Wingdings" w:hAnsi="Wingdings" w:hint="default"/>
      </w:rPr>
    </w:lvl>
    <w:lvl w:ilvl="3" w:tplc="F9DE6A02">
      <w:start w:val="1"/>
      <w:numFmt w:val="bullet"/>
      <w:lvlText w:val=""/>
      <w:lvlJc w:val="left"/>
      <w:pPr>
        <w:ind w:left="2880" w:hanging="360"/>
      </w:pPr>
      <w:rPr>
        <w:rFonts w:ascii="Symbol" w:hAnsi="Symbol" w:hint="default"/>
      </w:rPr>
    </w:lvl>
    <w:lvl w:ilvl="4" w:tplc="2F0AF3E8">
      <w:start w:val="1"/>
      <w:numFmt w:val="bullet"/>
      <w:lvlText w:val="o"/>
      <w:lvlJc w:val="left"/>
      <w:pPr>
        <w:ind w:left="3600" w:hanging="360"/>
      </w:pPr>
      <w:rPr>
        <w:rFonts w:ascii="Courier New" w:hAnsi="Courier New" w:hint="default"/>
      </w:rPr>
    </w:lvl>
    <w:lvl w:ilvl="5" w:tplc="BB46FA6A">
      <w:start w:val="1"/>
      <w:numFmt w:val="bullet"/>
      <w:lvlText w:val=""/>
      <w:lvlJc w:val="left"/>
      <w:pPr>
        <w:ind w:left="4320" w:hanging="360"/>
      </w:pPr>
      <w:rPr>
        <w:rFonts w:ascii="Wingdings" w:hAnsi="Wingdings" w:hint="default"/>
      </w:rPr>
    </w:lvl>
    <w:lvl w:ilvl="6" w:tplc="7CEABAB2">
      <w:start w:val="1"/>
      <w:numFmt w:val="bullet"/>
      <w:lvlText w:val=""/>
      <w:lvlJc w:val="left"/>
      <w:pPr>
        <w:ind w:left="5040" w:hanging="360"/>
      </w:pPr>
      <w:rPr>
        <w:rFonts w:ascii="Symbol" w:hAnsi="Symbol" w:hint="default"/>
      </w:rPr>
    </w:lvl>
    <w:lvl w:ilvl="7" w:tplc="BD201ECE">
      <w:start w:val="1"/>
      <w:numFmt w:val="bullet"/>
      <w:lvlText w:val="o"/>
      <w:lvlJc w:val="left"/>
      <w:pPr>
        <w:ind w:left="5760" w:hanging="360"/>
      </w:pPr>
      <w:rPr>
        <w:rFonts w:ascii="Courier New" w:hAnsi="Courier New" w:hint="default"/>
      </w:rPr>
    </w:lvl>
    <w:lvl w:ilvl="8" w:tplc="446E8288">
      <w:start w:val="1"/>
      <w:numFmt w:val="bullet"/>
      <w:lvlText w:val=""/>
      <w:lvlJc w:val="left"/>
      <w:pPr>
        <w:ind w:left="6480" w:hanging="360"/>
      </w:pPr>
      <w:rPr>
        <w:rFonts w:ascii="Wingdings" w:hAnsi="Wingdings" w:hint="default"/>
      </w:rPr>
    </w:lvl>
  </w:abstractNum>
  <w:abstractNum w:abstractNumId="1" w15:restartNumberingAfterBreak="0">
    <w:nsid w:val="1ED16C0B"/>
    <w:multiLevelType w:val="hybridMultilevel"/>
    <w:tmpl w:val="607E5F3C"/>
    <w:lvl w:ilvl="0" w:tplc="06D8E0FA">
      <w:start w:val="1"/>
      <w:numFmt w:val="bullet"/>
      <w:lvlText w:val=""/>
      <w:lvlJc w:val="left"/>
      <w:pPr>
        <w:ind w:left="720" w:hanging="360"/>
      </w:pPr>
      <w:rPr>
        <w:rFonts w:ascii="Symbol" w:hAnsi="Symbol" w:hint="default"/>
      </w:rPr>
    </w:lvl>
    <w:lvl w:ilvl="1" w:tplc="5552938C">
      <w:start w:val="1"/>
      <w:numFmt w:val="bullet"/>
      <w:lvlText w:val="o"/>
      <w:lvlJc w:val="left"/>
      <w:pPr>
        <w:ind w:left="1440" w:hanging="360"/>
      </w:pPr>
      <w:rPr>
        <w:rFonts w:ascii="Courier New" w:hAnsi="Courier New" w:hint="default"/>
      </w:rPr>
    </w:lvl>
    <w:lvl w:ilvl="2" w:tplc="0ED8D76E">
      <w:start w:val="1"/>
      <w:numFmt w:val="bullet"/>
      <w:lvlText w:val=""/>
      <w:lvlJc w:val="left"/>
      <w:pPr>
        <w:ind w:left="2160" w:hanging="360"/>
      </w:pPr>
      <w:rPr>
        <w:rFonts w:ascii="Wingdings" w:hAnsi="Wingdings" w:hint="default"/>
      </w:rPr>
    </w:lvl>
    <w:lvl w:ilvl="3" w:tplc="53ECEDC4">
      <w:start w:val="1"/>
      <w:numFmt w:val="bullet"/>
      <w:lvlText w:val=""/>
      <w:lvlJc w:val="left"/>
      <w:pPr>
        <w:ind w:left="2880" w:hanging="360"/>
      </w:pPr>
      <w:rPr>
        <w:rFonts w:ascii="Symbol" w:hAnsi="Symbol" w:hint="default"/>
      </w:rPr>
    </w:lvl>
    <w:lvl w:ilvl="4" w:tplc="3190B5D6">
      <w:start w:val="1"/>
      <w:numFmt w:val="bullet"/>
      <w:lvlText w:val="o"/>
      <w:lvlJc w:val="left"/>
      <w:pPr>
        <w:ind w:left="3600" w:hanging="360"/>
      </w:pPr>
      <w:rPr>
        <w:rFonts w:ascii="Courier New" w:hAnsi="Courier New" w:hint="default"/>
      </w:rPr>
    </w:lvl>
    <w:lvl w:ilvl="5" w:tplc="841A4E04">
      <w:start w:val="1"/>
      <w:numFmt w:val="bullet"/>
      <w:lvlText w:val=""/>
      <w:lvlJc w:val="left"/>
      <w:pPr>
        <w:ind w:left="4320" w:hanging="360"/>
      </w:pPr>
      <w:rPr>
        <w:rFonts w:ascii="Wingdings" w:hAnsi="Wingdings" w:hint="default"/>
      </w:rPr>
    </w:lvl>
    <w:lvl w:ilvl="6" w:tplc="6344A414">
      <w:start w:val="1"/>
      <w:numFmt w:val="bullet"/>
      <w:lvlText w:val=""/>
      <w:lvlJc w:val="left"/>
      <w:pPr>
        <w:ind w:left="5040" w:hanging="360"/>
      </w:pPr>
      <w:rPr>
        <w:rFonts w:ascii="Symbol" w:hAnsi="Symbol" w:hint="default"/>
      </w:rPr>
    </w:lvl>
    <w:lvl w:ilvl="7" w:tplc="047095C8">
      <w:start w:val="1"/>
      <w:numFmt w:val="bullet"/>
      <w:lvlText w:val="o"/>
      <w:lvlJc w:val="left"/>
      <w:pPr>
        <w:ind w:left="5760" w:hanging="360"/>
      </w:pPr>
      <w:rPr>
        <w:rFonts w:ascii="Courier New" w:hAnsi="Courier New" w:hint="default"/>
      </w:rPr>
    </w:lvl>
    <w:lvl w:ilvl="8" w:tplc="85767CAE">
      <w:start w:val="1"/>
      <w:numFmt w:val="bullet"/>
      <w:lvlText w:val=""/>
      <w:lvlJc w:val="left"/>
      <w:pPr>
        <w:ind w:left="6480" w:hanging="360"/>
      </w:pPr>
      <w:rPr>
        <w:rFonts w:ascii="Wingdings" w:hAnsi="Wingdings" w:hint="default"/>
      </w:rPr>
    </w:lvl>
  </w:abstractNum>
  <w:abstractNum w:abstractNumId="2" w15:restartNumberingAfterBreak="0">
    <w:nsid w:val="259B5BA1"/>
    <w:multiLevelType w:val="hybridMultilevel"/>
    <w:tmpl w:val="F994505A"/>
    <w:lvl w:ilvl="0" w:tplc="F088247A">
      <w:start w:val="1"/>
      <w:numFmt w:val="bullet"/>
      <w:lvlText w:val=""/>
      <w:lvlJc w:val="left"/>
      <w:pPr>
        <w:ind w:left="720" w:hanging="360"/>
      </w:pPr>
      <w:rPr>
        <w:rFonts w:ascii="Symbol" w:hAnsi="Symbol" w:hint="default"/>
      </w:rPr>
    </w:lvl>
    <w:lvl w:ilvl="1" w:tplc="E292AB34">
      <w:start w:val="1"/>
      <w:numFmt w:val="bullet"/>
      <w:lvlText w:val="o"/>
      <w:lvlJc w:val="left"/>
      <w:pPr>
        <w:ind w:left="1440" w:hanging="360"/>
      </w:pPr>
      <w:rPr>
        <w:rFonts w:ascii="Courier New" w:hAnsi="Courier New" w:hint="default"/>
      </w:rPr>
    </w:lvl>
    <w:lvl w:ilvl="2" w:tplc="639495B8">
      <w:start w:val="1"/>
      <w:numFmt w:val="bullet"/>
      <w:lvlText w:val=""/>
      <w:lvlJc w:val="left"/>
      <w:pPr>
        <w:ind w:left="2160" w:hanging="360"/>
      </w:pPr>
      <w:rPr>
        <w:rFonts w:ascii="Wingdings" w:hAnsi="Wingdings" w:hint="default"/>
      </w:rPr>
    </w:lvl>
    <w:lvl w:ilvl="3" w:tplc="46440D72">
      <w:start w:val="1"/>
      <w:numFmt w:val="bullet"/>
      <w:lvlText w:val=""/>
      <w:lvlJc w:val="left"/>
      <w:pPr>
        <w:ind w:left="2880" w:hanging="360"/>
      </w:pPr>
      <w:rPr>
        <w:rFonts w:ascii="Symbol" w:hAnsi="Symbol" w:hint="default"/>
      </w:rPr>
    </w:lvl>
    <w:lvl w:ilvl="4" w:tplc="2B0613EE">
      <w:start w:val="1"/>
      <w:numFmt w:val="bullet"/>
      <w:lvlText w:val="o"/>
      <w:lvlJc w:val="left"/>
      <w:pPr>
        <w:ind w:left="3600" w:hanging="360"/>
      </w:pPr>
      <w:rPr>
        <w:rFonts w:ascii="Courier New" w:hAnsi="Courier New" w:hint="default"/>
      </w:rPr>
    </w:lvl>
    <w:lvl w:ilvl="5" w:tplc="D5F6C4A2">
      <w:start w:val="1"/>
      <w:numFmt w:val="bullet"/>
      <w:lvlText w:val=""/>
      <w:lvlJc w:val="left"/>
      <w:pPr>
        <w:ind w:left="4320" w:hanging="360"/>
      </w:pPr>
      <w:rPr>
        <w:rFonts w:ascii="Wingdings" w:hAnsi="Wingdings" w:hint="default"/>
      </w:rPr>
    </w:lvl>
    <w:lvl w:ilvl="6" w:tplc="27DEE8DC">
      <w:start w:val="1"/>
      <w:numFmt w:val="bullet"/>
      <w:lvlText w:val=""/>
      <w:lvlJc w:val="left"/>
      <w:pPr>
        <w:ind w:left="5040" w:hanging="360"/>
      </w:pPr>
      <w:rPr>
        <w:rFonts w:ascii="Symbol" w:hAnsi="Symbol" w:hint="default"/>
      </w:rPr>
    </w:lvl>
    <w:lvl w:ilvl="7" w:tplc="D4428334">
      <w:start w:val="1"/>
      <w:numFmt w:val="bullet"/>
      <w:lvlText w:val="o"/>
      <w:lvlJc w:val="left"/>
      <w:pPr>
        <w:ind w:left="5760" w:hanging="360"/>
      </w:pPr>
      <w:rPr>
        <w:rFonts w:ascii="Courier New" w:hAnsi="Courier New" w:hint="default"/>
      </w:rPr>
    </w:lvl>
    <w:lvl w:ilvl="8" w:tplc="C8888B44">
      <w:start w:val="1"/>
      <w:numFmt w:val="bullet"/>
      <w:lvlText w:val=""/>
      <w:lvlJc w:val="left"/>
      <w:pPr>
        <w:ind w:left="6480" w:hanging="360"/>
      </w:pPr>
      <w:rPr>
        <w:rFonts w:ascii="Wingdings" w:hAnsi="Wingdings" w:hint="default"/>
      </w:rPr>
    </w:lvl>
  </w:abstractNum>
  <w:abstractNum w:abstractNumId="3" w15:restartNumberingAfterBreak="0">
    <w:nsid w:val="3DA65A0B"/>
    <w:multiLevelType w:val="hybridMultilevel"/>
    <w:tmpl w:val="FE2EF3F6"/>
    <w:lvl w:ilvl="0" w:tplc="85DCDE5E">
      <w:start w:val="1"/>
      <w:numFmt w:val="bullet"/>
      <w:lvlText w:val=""/>
      <w:lvlJc w:val="left"/>
      <w:pPr>
        <w:ind w:left="720" w:hanging="360"/>
      </w:pPr>
      <w:rPr>
        <w:rFonts w:ascii="Symbol" w:hAnsi="Symbol" w:hint="default"/>
      </w:rPr>
    </w:lvl>
    <w:lvl w:ilvl="1" w:tplc="558C64FC">
      <w:start w:val="1"/>
      <w:numFmt w:val="bullet"/>
      <w:lvlText w:val="o"/>
      <w:lvlJc w:val="left"/>
      <w:pPr>
        <w:ind w:left="1440" w:hanging="360"/>
      </w:pPr>
      <w:rPr>
        <w:rFonts w:ascii="Courier New" w:hAnsi="Courier New" w:hint="default"/>
      </w:rPr>
    </w:lvl>
    <w:lvl w:ilvl="2" w:tplc="84DC5926">
      <w:start w:val="1"/>
      <w:numFmt w:val="bullet"/>
      <w:lvlText w:val=""/>
      <w:lvlJc w:val="left"/>
      <w:pPr>
        <w:ind w:left="2160" w:hanging="360"/>
      </w:pPr>
      <w:rPr>
        <w:rFonts w:ascii="Wingdings" w:hAnsi="Wingdings" w:hint="default"/>
      </w:rPr>
    </w:lvl>
    <w:lvl w:ilvl="3" w:tplc="8118E1F8">
      <w:start w:val="1"/>
      <w:numFmt w:val="bullet"/>
      <w:lvlText w:val=""/>
      <w:lvlJc w:val="left"/>
      <w:pPr>
        <w:ind w:left="2880" w:hanging="360"/>
      </w:pPr>
      <w:rPr>
        <w:rFonts w:ascii="Symbol" w:hAnsi="Symbol" w:hint="default"/>
      </w:rPr>
    </w:lvl>
    <w:lvl w:ilvl="4" w:tplc="A5F29DE0">
      <w:start w:val="1"/>
      <w:numFmt w:val="bullet"/>
      <w:lvlText w:val="o"/>
      <w:lvlJc w:val="left"/>
      <w:pPr>
        <w:ind w:left="3600" w:hanging="360"/>
      </w:pPr>
      <w:rPr>
        <w:rFonts w:ascii="Courier New" w:hAnsi="Courier New" w:hint="default"/>
      </w:rPr>
    </w:lvl>
    <w:lvl w:ilvl="5" w:tplc="32149420">
      <w:start w:val="1"/>
      <w:numFmt w:val="bullet"/>
      <w:lvlText w:val=""/>
      <w:lvlJc w:val="left"/>
      <w:pPr>
        <w:ind w:left="4320" w:hanging="360"/>
      </w:pPr>
      <w:rPr>
        <w:rFonts w:ascii="Wingdings" w:hAnsi="Wingdings" w:hint="default"/>
      </w:rPr>
    </w:lvl>
    <w:lvl w:ilvl="6" w:tplc="FAC60286">
      <w:start w:val="1"/>
      <w:numFmt w:val="bullet"/>
      <w:lvlText w:val=""/>
      <w:lvlJc w:val="left"/>
      <w:pPr>
        <w:ind w:left="5040" w:hanging="360"/>
      </w:pPr>
      <w:rPr>
        <w:rFonts w:ascii="Symbol" w:hAnsi="Symbol" w:hint="default"/>
      </w:rPr>
    </w:lvl>
    <w:lvl w:ilvl="7" w:tplc="1532623A">
      <w:start w:val="1"/>
      <w:numFmt w:val="bullet"/>
      <w:lvlText w:val="o"/>
      <w:lvlJc w:val="left"/>
      <w:pPr>
        <w:ind w:left="5760" w:hanging="360"/>
      </w:pPr>
      <w:rPr>
        <w:rFonts w:ascii="Courier New" w:hAnsi="Courier New" w:hint="default"/>
      </w:rPr>
    </w:lvl>
    <w:lvl w:ilvl="8" w:tplc="A7EA6408">
      <w:start w:val="1"/>
      <w:numFmt w:val="bullet"/>
      <w:lvlText w:val=""/>
      <w:lvlJc w:val="left"/>
      <w:pPr>
        <w:ind w:left="6480" w:hanging="360"/>
      </w:pPr>
      <w:rPr>
        <w:rFonts w:ascii="Wingdings" w:hAnsi="Wingdings" w:hint="default"/>
      </w:rPr>
    </w:lvl>
  </w:abstractNum>
  <w:abstractNum w:abstractNumId="4" w15:restartNumberingAfterBreak="0">
    <w:nsid w:val="46683EE8"/>
    <w:multiLevelType w:val="hybridMultilevel"/>
    <w:tmpl w:val="14C069F2"/>
    <w:lvl w:ilvl="0" w:tplc="85DCDE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B70E69"/>
    <w:multiLevelType w:val="hybridMultilevel"/>
    <w:tmpl w:val="FF5068B8"/>
    <w:lvl w:ilvl="0" w:tplc="85DCDE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5E4D36"/>
    <w:multiLevelType w:val="hybridMultilevel"/>
    <w:tmpl w:val="41826546"/>
    <w:lvl w:ilvl="0" w:tplc="2700ACA8">
      <w:numFmt w:val="bullet"/>
      <w:lvlText w:val=""/>
      <w:lvlJc w:val="left"/>
      <w:pPr>
        <w:ind w:left="786" w:hanging="360"/>
      </w:pPr>
      <w:rPr>
        <w:rFonts w:ascii="Symbol" w:eastAsia="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50C43AE4"/>
    <w:multiLevelType w:val="hybridMultilevel"/>
    <w:tmpl w:val="D38409FE"/>
    <w:lvl w:ilvl="0" w:tplc="85DCDE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8D5EC1"/>
    <w:multiLevelType w:val="hybridMultilevel"/>
    <w:tmpl w:val="B61AA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EA7A7E"/>
    <w:multiLevelType w:val="hybridMultilevel"/>
    <w:tmpl w:val="1332C7AC"/>
    <w:lvl w:ilvl="0" w:tplc="AA7026F4">
      <w:start w:val="1"/>
      <w:numFmt w:val="bullet"/>
      <w:lvlText w:val=""/>
      <w:lvlJc w:val="left"/>
      <w:pPr>
        <w:ind w:left="720" w:hanging="360"/>
      </w:pPr>
      <w:rPr>
        <w:rFonts w:ascii="Symbol" w:hAnsi="Symbol" w:hint="default"/>
      </w:rPr>
    </w:lvl>
    <w:lvl w:ilvl="1" w:tplc="B50640B2">
      <w:start w:val="1"/>
      <w:numFmt w:val="bullet"/>
      <w:lvlText w:val="o"/>
      <w:lvlJc w:val="left"/>
      <w:pPr>
        <w:ind w:left="1440" w:hanging="360"/>
      </w:pPr>
      <w:rPr>
        <w:rFonts w:ascii="Courier New" w:hAnsi="Courier New" w:hint="default"/>
      </w:rPr>
    </w:lvl>
    <w:lvl w:ilvl="2" w:tplc="446E916A">
      <w:start w:val="1"/>
      <w:numFmt w:val="bullet"/>
      <w:lvlText w:val=""/>
      <w:lvlJc w:val="left"/>
      <w:pPr>
        <w:ind w:left="2160" w:hanging="360"/>
      </w:pPr>
      <w:rPr>
        <w:rFonts w:ascii="Wingdings" w:hAnsi="Wingdings" w:hint="default"/>
      </w:rPr>
    </w:lvl>
    <w:lvl w:ilvl="3" w:tplc="0E66A2C2">
      <w:start w:val="1"/>
      <w:numFmt w:val="bullet"/>
      <w:lvlText w:val=""/>
      <w:lvlJc w:val="left"/>
      <w:pPr>
        <w:ind w:left="2880" w:hanging="360"/>
      </w:pPr>
      <w:rPr>
        <w:rFonts w:ascii="Symbol" w:hAnsi="Symbol" w:hint="default"/>
      </w:rPr>
    </w:lvl>
    <w:lvl w:ilvl="4" w:tplc="9C0C1B96">
      <w:start w:val="1"/>
      <w:numFmt w:val="bullet"/>
      <w:lvlText w:val="o"/>
      <w:lvlJc w:val="left"/>
      <w:pPr>
        <w:ind w:left="3600" w:hanging="360"/>
      </w:pPr>
      <w:rPr>
        <w:rFonts w:ascii="Courier New" w:hAnsi="Courier New" w:hint="default"/>
      </w:rPr>
    </w:lvl>
    <w:lvl w:ilvl="5" w:tplc="A68CE174">
      <w:start w:val="1"/>
      <w:numFmt w:val="bullet"/>
      <w:lvlText w:val=""/>
      <w:lvlJc w:val="left"/>
      <w:pPr>
        <w:ind w:left="4320" w:hanging="360"/>
      </w:pPr>
      <w:rPr>
        <w:rFonts w:ascii="Wingdings" w:hAnsi="Wingdings" w:hint="default"/>
      </w:rPr>
    </w:lvl>
    <w:lvl w:ilvl="6" w:tplc="C53402DC">
      <w:start w:val="1"/>
      <w:numFmt w:val="bullet"/>
      <w:lvlText w:val=""/>
      <w:lvlJc w:val="left"/>
      <w:pPr>
        <w:ind w:left="5040" w:hanging="360"/>
      </w:pPr>
      <w:rPr>
        <w:rFonts w:ascii="Symbol" w:hAnsi="Symbol" w:hint="default"/>
      </w:rPr>
    </w:lvl>
    <w:lvl w:ilvl="7" w:tplc="0B5AF40E">
      <w:start w:val="1"/>
      <w:numFmt w:val="bullet"/>
      <w:lvlText w:val="o"/>
      <w:lvlJc w:val="left"/>
      <w:pPr>
        <w:ind w:left="5760" w:hanging="360"/>
      </w:pPr>
      <w:rPr>
        <w:rFonts w:ascii="Courier New" w:hAnsi="Courier New" w:hint="default"/>
      </w:rPr>
    </w:lvl>
    <w:lvl w:ilvl="8" w:tplc="56A67B12">
      <w:start w:val="1"/>
      <w:numFmt w:val="bullet"/>
      <w:lvlText w:val=""/>
      <w:lvlJc w:val="left"/>
      <w:pPr>
        <w:ind w:left="6480" w:hanging="360"/>
      </w:pPr>
      <w:rPr>
        <w:rFonts w:ascii="Wingdings" w:hAnsi="Wingdings" w:hint="default"/>
      </w:rPr>
    </w:lvl>
  </w:abstractNum>
  <w:abstractNum w:abstractNumId="10" w15:restartNumberingAfterBreak="0">
    <w:nsid w:val="76305111"/>
    <w:multiLevelType w:val="hybridMultilevel"/>
    <w:tmpl w:val="A3BA9280"/>
    <w:lvl w:ilvl="0" w:tplc="C010A57E">
      <w:start w:val="1"/>
      <w:numFmt w:val="bullet"/>
      <w:lvlText w:val=""/>
      <w:lvlJc w:val="left"/>
      <w:pPr>
        <w:ind w:left="720" w:hanging="360"/>
      </w:pPr>
      <w:rPr>
        <w:rFonts w:ascii="Symbol" w:hAnsi="Symbol" w:hint="default"/>
      </w:rPr>
    </w:lvl>
    <w:lvl w:ilvl="1" w:tplc="691CD23E">
      <w:start w:val="1"/>
      <w:numFmt w:val="bullet"/>
      <w:lvlText w:val="o"/>
      <w:lvlJc w:val="left"/>
      <w:pPr>
        <w:ind w:left="1440" w:hanging="360"/>
      </w:pPr>
      <w:rPr>
        <w:rFonts w:ascii="Courier New" w:hAnsi="Courier New" w:hint="default"/>
      </w:rPr>
    </w:lvl>
    <w:lvl w:ilvl="2" w:tplc="2A988B70">
      <w:start w:val="1"/>
      <w:numFmt w:val="bullet"/>
      <w:lvlText w:val=""/>
      <w:lvlJc w:val="left"/>
      <w:pPr>
        <w:ind w:left="2160" w:hanging="360"/>
      </w:pPr>
      <w:rPr>
        <w:rFonts w:ascii="Wingdings" w:hAnsi="Wingdings" w:hint="default"/>
      </w:rPr>
    </w:lvl>
    <w:lvl w:ilvl="3" w:tplc="F2B46516">
      <w:start w:val="1"/>
      <w:numFmt w:val="bullet"/>
      <w:lvlText w:val=""/>
      <w:lvlJc w:val="left"/>
      <w:pPr>
        <w:ind w:left="2880" w:hanging="360"/>
      </w:pPr>
      <w:rPr>
        <w:rFonts w:ascii="Symbol" w:hAnsi="Symbol" w:hint="default"/>
      </w:rPr>
    </w:lvl>
    <w:lvl w:ilvl="4" w:tplc="778EDC90">
      <w:start w:val="1"/>
      <w:numFmt w:val="bullet"/>
      <w:lvlText w:val="o"/>
      <w:lvlJc w:val="left"/>
      <w:pPr>
        <w:ind w:left="3600" w:hanging="360"/>
      </w:pPr>
      <w:rPr>
        <w:rFonts w:ascii="Courier New" w:hAnsi="Courier New" w:hint="default"/>
      </w:rPr>
    </w:lvl>
    <w:lvl w:ilvl="5" w:tplc="FC201F6A">
      <w:start w:val="1"/>
      <w:numFmt w:val="bullet"/>
      <w:lvlText w:val=""/>
      <w:lvlJc w:val="left"/>
      <w:pPr>
        <w:ind w:left="4320" w:hanging="360"/>
      </w:pPr>
      <w:rPr>
        <w:rFonts w:ascii="Wingdings" w:hAnsi="Wingdings" w:hint="default"/>
      </w:rPr>
    </w:lvl>
    <w:lvl w:ilvl="6" w:tplc="AA98F6FC">
      <w:start w:val="1"/>
      <w:numFmt w:val="bullet"/>
      <w:lvlText w:val=""/>
      <w:lvlJc w:val="left"/>
      <w:pPr>
        <w:ind w:left="5040" w:hanging="360"/>
      </w:pPr>
      <w:rPr>
        <w:rFonts w:ascii="Symbol" w:hAnsi="Symbol" w:hint="default"/>
      </w:rPr>
    </w:lvl>
    <w:lvl w:ilvl="7" w:tplc="BB38D88E">
      <w:start w:val="1"/>
      <w:numFmt w:val="bullet"/>
      <w:lvlText w:val="o"/>
      <w:lvlJc w:val="left"/>
      <w:pPr>
        <w:ind w:left="5760" w:hanging="360"/>
      </w:pPr>
      <w:rPr>
        <w:rFonts w:ascii="Courier New" w:hAnsi="Courier New" w:hint="default"/>
      </w:rPr>
    </w:lvl>
    <w:lvl w:ilvl="8" w:tplc="6A8A90DC">
      <w:start w:val="1"/>
      <w:numFmt w:val="bullet"/>
      <w:lvlText w:val=""/>
      <w:lvlJc w:val="left"/>
      <w:pPr>
        <w:ind w:left="6480" w:hanging="360"/>
      </w:pPr>
      <w:rPr>
        <w:rFonts w:ascii="Wingdings" w:hAnsi="Wingdings" w:hint="default"/>
      </w:rPr>
    </w:lvl>
  </w:abstractNum>
  <w:abstractNum w:abstractNumId="11" w15:restartNumberingAfterBreak="0">
    <w:nsid w:val="7D1B4FE4"/>
    <w:multiLevelType w:val="hybridMultilevel"/>
    <w:tmpl w:val="63505D76"/>
    <w:lvl w:ilvl="0" w:tplc="85DCDE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3614055">
    <w:abstractNumId w:val="2"/>
  </w:num>
  <w:num w:numId="2" w16cid:durableId="483863786">
    <w:abstractNumId w:val="0"/>
  </w:num>
  <w:num w:numId="3" w16cid:durableId="136142798">
    <w:abstractNumId w:val="1"/>
  </w:num>
  <w:num w:numId="4" w16cid:durableId="694968437">
    <w:abstractNumId w:val="3"/>
  </w:num>
  <w:num w:numId="5" w16cid:durableId="1400246942">
    <w:abstractNumId w:val="9"/>
  </w:num>
  <w:num w:numId="6" w16cid:durableId="693069707">
    <w:abstractNumId w:val="10"/>
  </w:num>
  <w:num w:numId="7" w16cid:durableId="521165432">
    <w:abstractNumId w:val="8"/>
  </w:num>
  <w:num w:numId="8" w16cid:durableId="682902950">
    <w:abstractNumId w:val="5"/>
  </w:num>
  <w:num w:numId="9" w16cid:durableId="505681119">
    <w:abstractNumId w:val="7"/>
  </w:num>
  <w:num w:numId="10" w16cid:durableId="147401131">
    <w:abstractNumId w:val="11"/>
  </w:num>
  <w:num w:numId="11" w16cid:durableId="704868051">
    <w:abstractNumId w:val="6"/>
  </w:num>
  <w:num w:numId="12" w16cid:durableId="1655647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B9"/>
    <w:rsid w:val="001048B9"/>
    <w:rsid w:val="0011216C"/>
    <w:rsid w:val="001729A9"/>
    <w:rsid w:val="001A30A6"/>
    <w:rsid w:val="001E42E6"/>
    <w:rsid w:val="0022197C"/>
    <w:rsid w:val="003D6D26"/>
    <w:rsid w:val="00414A8E"/>
    <w:rsid w:val="0051205B"/>
    <w:rsid w:val="00512B7E"/>
    <w:rsid w:val="0053285C"/>
    <w:rsid w:val="005537BE"/>
    <w:rsid w:val="0064193A"/>
    <w:rsid w:val="00654E38"/>
    <w:rsid w:val="00693A83"/>
    <w:rsid w:val="006D7E11"/>
    <w:rsid w:val="006E0BD3"/>
    <w:rsid w:val="00890839"/>
    <w:rsid w:val="00932552"/>
    <w:rsid w:val="009517EB"/>
    <w:rsid w:val="00A16DC4"/>
    <w:rsid w:val="00A31B7D"/>
    <w:rsid w:val="00A41251"/>
    <w:rsid w:val="00AD5417"/>
    <w:rsid w:val="00B46241"/>
    <w:rsid w:val="00CB16B5"/>
    <w:rsid w:val="00D6483B"/>
    <w:rsid w:val="00D8605E"/>
    <w:rsid w:val="00D8635D"/>
    <w:rsid w:val="00DB31F6"/>
    <w:rsid w:val="00FE5C3D"/>
    <w:rsid w:val="086155DE"/>
    <w:rsid w:val="15AAF32D"/>
    <w:rsid w:val="1929E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565B"/>
  <w15:docId w15:val="{D2EE8C51-CE02-4E53-8CCD-AD1BCA2F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93A"/>
    <w:pPr>
      <w:ind w:left="720"/>
      <w:contextualSpacing/>
    </w:pPr>
  </w:style>
  <w:style w:type="paragraph" w:styleId="FootnoteText">
    <w:name w:val="footnote text"/>
    <w:basedOn w:val="Normal"/>
    <w:link w:val="FootnoteTextChar"/>
    <w:uiPriority w:val="99"/>
    <w:semiHidden/>
    <w:unhideWhenUsed/>
    <w:rsid w:val="009325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2552"/>
    <w:rPr>
      <w:sz w:val="20"/>
      <w:szCs w:val="20"/>
    </w:rPr>
  </w:style>
  <w:style w:type="character" w:styleId="FootnoteReference">
    <w:name w:val="footnote reference"/>
    <w:basedOn w:val="DefaultParagraphFont"/>
    <w:uiPriority w:val="99"/>
    <w:semiHidden/>
    <w:unhideWhenUsed/>
    <w:rsid w:val="00932552"/>
    <w:rPr>
      <w:vertAlign w:val="superscript"/>
    </w:rPr>
  </w:style>
  <w:style w:type="paragraph" w:styleId="BalloonText">
    <w:name w:val="Balloon Text"/>
    <w:basedOn w:val="Normal"/>
    <w:link w:val="BalloonTextChar"/>
    <w:uiPriority w:val="99"/>
    <w:semiHidden/>
    <w:unhideWhenUsed/>
    <w:rsid w:val="00112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16C"/>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CE708-3901-4435-AE78-7AD9E8A0F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1546</Words>
  <Characters>8817</Characters>
  <Application>Microsoft Office Word</Application>
  <DocSecurity>0</DocSecurity>
  <Lines>73</Lines>
  <Paragraphs>20</Paragraphs>
  <ScaleCrop>false</ScaleCrop>
  <Company>University of Essex</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Paul</dc:creator>
  <cp:keywords/>
  <dc:description/>
  <cp:lastModifiedBy>Braybrooke, Karen B</cp:lastModifiedBy>
  <cp:revision>3</cp:revision>
  <dcterms:created xsi:type="dcterms:W3CDTF">2025-02-12T09:35:00Z</dcterms:created>
  <dcterms:modified xsi:type="dcterms:W3CDTF">2025-02-12T10:21:00Z</dcterms:modified>
</cp:coreProperties>
</file>