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B608A" w14:textId="3E5A1D49" w:rsidR="00E9321A" w:rsidRDefault="00F53B1F">
      <w:r>
        <w:t>Field trips and organised recreational visits vary greatly in their complexity and the risks they present. The tools provided on this site and the associated links enable a risk-based approach for the detail which is normally required in the paperwork (as referenced in the table below).</w:t>
      </w:r>
    </w:p>
    <w:p w14:paraId="29D9BD2B" w14:textId="213AEF24" w:rsidR="00F53B1F" w:rsidRPr="006355E0" w:rsidRDefault="00F53B1F">
      <w:pPr>
        <w:rPr>
          <w:sz w:val="16"/>
          <w:szCs w:val="16"/>
        </w:rPr>
      </w:pPr>
    </w:p>
    <w:tbl>
      <w:tblPr>
        <w:tblStyle w:val="TableGrid"/>
        <w:tblW w:w="15877" w:type="dxa"/>
        <w:tblInd w:w="-998" w:type="dxa"/>
        <w:tblLook w:val="04A0" w:firstRow="1" w:lastRow="0" w:firstColumn="1" w:lastColumn="0" w:noHBand="0" w:noVBand="1"/>
      </w:tblPr>
      <w:tblGrid>
        <w:gridCol w:w="1986"/>
        <w:gridCol w:w="2148"/>
        <w:gridCol w:w="2406"/>
        <w:gridCol w:w="2119"/>
        <w:gridCol w:w="2586"/>
        <w:gridCol w:w="2255"/>
        <w:gridCol w:w="2377"/>
      </w:tblGrid>
      <w:tr w:rsidR="00163312" w14:paraId="009DFAA9" w14:textId="77777777" w:rsidTr="00163312">
        <w:tc>
          <w:tcPr>
            <w:tcW w:w="1986" w:type="dxa"/>
            <w:vMerge w:val="restart"/>
            <w:shd w:val="clear" w:color="auto" w:fill="E7E6E6" w:themeFill="background2"/>
            <w:vAlign w:val="center"/>
          </w:tcPr>
          <w:p w14:paraId="710A9EE4" w14:textId="77777777" w:rsidR="007D1094" w:rsidRDefault="007D1094" w:rsidP="0018234D">
            <w:r>
              <w:t xml:space="preserve">Paperwork required for authorisation prior to </w:t>
            </w:r>
            <w:proofErr w:type="gramStart"/>
            <w:r>
              <w:t>booking</w:t>
            </w:r>
            <w:proofErr w:type="gramEnd"/>
            <w:r>
              <w:t xml:space="preserve"> </w:t>
            </w:r>
          </w:p>
          <w:p w14:paraId="3F7E9168" w14:textId="77777777" w:rsidR="007D1094" w:rsidRDefault="007D1094" w:rsidP="0018234D"/>
          <w:p w14:paraId="15D9F9A3" w14:textId="243D967C" w:rsidR="007D1094" w:rsidRDefault="007D1094" w:rsidP="0018234D"/>
        </w:tc>
        <w:tc>
          <w:tcPr>
            <w:tcW w:w="4554" w:type="dxa"/>
            <w:gridSpan w:val="2"/>
            <w:shd w:val="clear" w:color="auto" w:fill="FFF2CC" w:themeFill="accent4" w:themeFillTint="33"/>
          </w:tcPr>
          <w:p w14:paraId="7265F9C6" w14:textId="4D2C1059" w:rsidR="007D1094" w:rsidRPr="00F85C77" w:rsidRDefault="007D1094" w:rsidP="007D1094">
            <w:pPr>
              <w:jc w:val="center"/>
              <w:rPr>
                <w:rFonts w:ascii="Arial" w:hAnsi="Arial" w:cs="Arial"/>
                <w:b/>
                <w:bCs/>
              </w:rPr>
            </w:pPr>
            <w:r w:rsidRPr="00F85C77">
              <w:rPr>
                <w:rFonts w:ascii="Arial" w:hAnsi="Arial" w:cs="Arial"/>
                <w:b/>
                <w:bCs/>
                <w:u w:val="single"/>
              </w:rPr>
              <w:t>Field trip</w:t>
            </w:r>
          </w:p>
          <w:p w14:paraId="3BB5F9D4" w14:textId="4F3E211E" w:rsidR="006355E0" w:rsidRDefault="007D1094">
            <w:r>
              <w:t>part of group field trip and/or module with students</w:t>
            </w:r>
            <w:r w:rsidR="006355E0">
              <w:t>.</w:t>
            </w:r>
            <w:r>
              <w:t xml:space="preserve"> </w:t>
            </w:r>
          </w:p>
          <w:p w14:paraId="664AAB58" w14:textId="78F76D30" w:rsidR="007D1094" w:rsidRDefault="006355E0">
            <w:r>
              <w:t>S</w:t>
            </w:r>
            <w:r w:rsidR="007D1094">
              <w:t>hould have an appointed University Venture Leader</w:t>
            </w:r>
            <w:r>
              <w:t>.</w:t>
            </w:r>
          </w:p>
        </w:tc>
        <w:tc>
          <w:tcPr>
            <w:tcW w:w="4705" w:type="dxa"/>
            <w:gridSpan w:val="2"/>
            <w:shd w:val="clear" w:color="auto" w:fill="auto"/>
          </w:tcPr>
          <w:p w14:paraId="66B4E2EE" w14:textId="4472ADBC" w:rsidR="007D1094" w:rsidRPr="00F85C77" w:rsidRDefault="007D1094" w:rsidP="007D1094">
            <w:pPr>
              <w:jc w:val="center"/>
              <w:rPr>
                <w:rFonts w:ascii="Arial" w:hAnsi="Arial" w:cs="Arial"/>
                <w:b/>
                <w:bCs/>
              </w:rPr>
            </w:pPr>
            <w:r w:rsidRPr="00F85C77">
              <w:rPr>
                <w:rFonts w:ascii="Arial" w:hAnsi="Arial" w:cs="Arial"/>
                <w:b/>
                <w:bCs/>
                <w:u w:val="single"/>
              </w:rPr>
              <w:t>Trip or visit</w:t>
            </w:r>
          </w:p>
          <w:p w14:paraId="599C3399" w14:textId="24F390B5" w:rsidR="007D1094" w:rsidRDefault="007D1094">
            <w:r>
              <w:t>organised as part of University or Grant funded research</w:t>
            </w:r>
            <w:r w:rsidRPr="00F85C77">
              <w:t xml:space="preserve"> </w:t>
            </w:r>
            <w:r>
              <w:t>with 5 or more participants</w:t>
            </w:r>
            <w:r w:rsidR="00064FDD">
              <w:t xml:space="preserve">, </w:t>
            </w:r>
            <w:r w:rsidR="00064FDD" w:rsidRPr="00F85C77">
              <w:rPr>
                <w:i/>
                <w:iCs/>
                <w:u w:val="single"/>
              </w:rPr>
              <w:t xml:space="preserve">NOTE: for Field Trips previous heading </w:t>
            </w:r>
            <w:r w:rsidR="00064FDD">
              <w:rPr>
                <w:i/>
                <w:iCs/>
                <w:u w:val="single"/>
              </w:rPr>
              <w:t xml:space="preserve">always </w:t>
            </w:r>
            <w:r w:rsidR="00064FDD" w:rsidRPr="00F85C77">
              <w:rPr>
                <w:i/>
                <w:iCs/>
                <w:u w:val="single"/>
              </w:rPr>
              <w:t>applies</w:t>
            </w:r>
          </w:p>
        </w:tc>
        <w:tc>
          <w:tcPr>
            <w:tcW w:w="4632" w:type="dxa"/>
            <w:gridSpan w:val="2"/>
            <w:shd w:val="clear" w:color="auto" w:fill="D9E2F3" w:themeFill="accent1" w:themeFillTint="33"/>
          </w:tcPr>
          <w:p w14:paraId="0BCDE5D0" w14:textId="74F604F2" w:rsidR="007D1094" w:rsidRPr="00F85C77" w:rsidRDefault="007D1094" w:rsidP="007D1094">
            <w:pPr>
              <w:jc w:val="center"/>
              <w:rPr>
                <w:rFonts w:ascii="Arial" w:hAnsi="Arial" w:cs="Arial"/>
                <w:b/>
                <w:bCs/>
              </w:rPr>
            </w:pPr>
            <w:r w:rsidRPr="00F85C77">
              <w:rPr>
                <w:rFonts w:ascii="Arial" w:hAnsi="Arial" w:cs="Arial"/>
                <w:b/>
                <w:bCs/>
                <w:u w:val="single"/>
              </w:rPr>
              <w:t>Trip or visit</w:t>
            </w:r>
          </w:p>
          <w:p w14:paraId="58744C3F" w14:textId="7E7FE700" w:rsidR="007D1094" w:rsidRDefault="007D1094">
            <w:r>
              <w:t>organised independently for a student project (incl. MSc / PhD) with fewer than 5 participants</w:t>
            </w:r>
          </w:p>
        </w:tc>
      </w:tr>
      <w:tr w:rsidR="00611580" w14:paraId="6C72E5B0" w14:textId="77777777" w:rsidTr="00163312">
        <w:tc>
          <w:tcPr>
            <w:tcW w:w="1986" w:type="dxa"/>
            <w:vMerge/>
            <w:shd w:val="clear" w:color="auto" w:fill="E7E6E6" w:themeFill="background2"/>
          </w:tcPr>
          <w:p w14:paraId="514E6C22" w14:textId="0EE28AD9" w:rsidR="00611580" w:rsidRDefault="00611580"/>
        </w:tc>
        <w:tc>
          <w:tcPr>
            <w:tcW w:w="2148" w:type="dxa"/>
            <w:shd w:val="clear" w:color="auto" w:fill="FFF2CC" w:themeFill="accent4" w:themeFillTint="33"/>
          </w:tcPr>
          <w:p w14:paraId="7FE2A0F4" w14:textId="69A2E088" w:rsidR="00611580" w:rsidRPr="007D1094" w:rsidRDefault="00611580">
            <w:r>
              <w:t>Straightforward, low risk UK and Overseas</w:t>
            </w:r>
            <w:r w:rsidR="00163312">
              <w:t>*</w:t>
            </w:r>
            <w:r>
              <w:t xml:space="preserve"> visit with fewer than 5 travellers.</w:t>
            </w:r>
          </w:p>
        </w:tc>
        <w:tc>
          <w:tcPr>
            <w:tcW w:w="2406" w:type="dxa"/>
            <w:shd w:val="clear" w:color="auto" w:fill="FFF2CC" w:themeFill="accent4" w:themeFillTint="33"/>
          </w:tcPr>
          <w:p w14:paraId="48972C64" w14:textId="6EAEBD1D" w:rsidR="00611580" w:rsidRPr="007D1094" w:rsidRDefault="00611580">
            <w:r w:rsidRPr="007D1094">
              <w:t>Field trip</w:t>
            </w:r>
            <w:r w:rsidR="00064FDD">
              <w:t xml:space="preserve"> with 5 or more participants and/or</w:t>
            </w:r>
            <w:r w:rsidRPr="007D1094">
              <w:t xml:space="preserve"> </w:t>
            </w:r>
            <w:r>
              <w:t xml:space="preserve">involves </w:t>
            </w:r>
            <w:r w:rsidR="00A12C06">
              <w:t xml:space="preserve">any </w:t>
            </w:r>
            <w:r>
              <w:t>hazardous activities or visits to remote locations.</w:t>
            </w:r>
          </w:p>
        </w:tc>
        <w:tc>
          <w:tcPr>
            <w:tcW w:w="2119" w:type="dxa"/>
            <w:shd w:val="clear" w:color="auto" w:fill="auto"/>
          </w:tcPr>
          <w:p w14:paraId="01DFD19C" w14:textId="77777777" w:rsidR="00611580" w:rsidRPr="002778B5" w:rsidRDefault="00611580">
            <w:pPr>
              <w:rPr>
                <w:u w:val="single"/>
              </w:rPr>
            </w:pPr>
          </w:p>
        </w:tc>
        <w:tc>
          <w:tcPr>
            <w:tcW w:w="2586" w:type="dxa"/>
            <w:shd w:val="clear" w:color="auto" w:fill="auto"/>
          </w:tcPr>
          <w:p w14:paraId="6A8EE293" w14:textId="202CD092" w:rsidR="00611580" w:rsidRPr="002778B5" w:rsidRDefault="00611580">
            <w:pPr>
              <w:rPr>
                <w:u w:val="single"/>
              </w:rPr>
            </w:pPr>
            <w:r w:rsidRPr="007D1094">
              <w:t xml:space="preserve">Where trip </w:t>
            </w:r>
            <w:r>
              <w:t xml:space="preserve">involves </w:t>
            </w:r>
            <w:r w:rsidR="00A12C06">
              <w:t xml:space="preserve">any </w:t>
            </w:r>
            <w:r>
              <w:t>hazardous activities or visits to remote locations.</w:t>
            </w:r>
          </w:p>
        </w:tc>
        <w:tc>
          <w:tcPr>
            <w:tcW w:w="2255" w:type="dxa"/>
            <w:shd w:val="clear" w:color="auto" w:fill="D9E2F3" w:themeFill="accent1" w:themeFillTint="33"/>
          </w:tcPr>
          <w:p w14:paraId="228A5B14" w14:textId="0B4DCBC1" w:rsidR="00611580" w:rsidRPr="002778B5" w:rsidRDefault="00611580">
            <w:pPr>
              <w:rPr>
                <w:u w:val="single"/>
              </w:rPr>
            </w:pPr>
            <w:r>
              <w:t xml:space="preserve">Straightforward, low risk UK and Overseas </w:t>
            </w:r>
            <w:r w:rsidR="00A12C06">
              <w:t>*</w:t>
            </w:r>
            <w:r>
              <w:t>visit.</w:t>
            </w:r>
          </w:p>
        </w:tc>
        <w:tc>
          <w:tcPr>
            <w:tcW w:w="2377" w:type="dxa"/>
            <w:shd w:val="clear" w:color="auto" w:fill="D9E2F3" w:themeFill="accent1" w:themeFillTint="33"/>
          </w:tcPr>
          <w:p w14:paraId="069710F9" w14:textId="57211F32" w:rsidR="00611580" w:rsidRPr="002778B5" w:rsidRDefault="00611580">
            <w:pPr>
              <w:rPr>
                <w:u w:val="single"/>
              </w:rPr>
            </w:pPr>
            <w:r w:rsidRPr="007D1094">
              <w:t xml:space="preserve">Where Field trip </w:t>
            </w:r>
            <w:r>
              <w:t xml:space="preserve">involves </w:t>
            </w:r>
            <w:r w:rsidR="00A12C06">
              <w:t xml:space="preserve">any </w:t>
            </w:r>
            <w:r>
              <w:t>hazardous activities or visits to remote locations.</w:t>
            </w:r>
          </w:p>
        </w:tc>
      </w:tr>
      <w:tr w:rsidR="0081310E" w14:paraId="708C8B85" w14:textId="77777777" w:rsidTr="0081310E">
        <w:trPr>
          <w:trHeight w:val="670"/>
        </w:trPr>
        <w:tc>
          <w:tcPr>
            <w:tcW w:w="15877" w:type="dxa"/>
            <w:gridSpan w:val="7"/>
            <w:shd w:val="clear" w:color="auto" w:fill="FFFFFF" w:themeFill="background1"/>
            <w:vAlign w:val="center"/>
          </w:tcPr>
          <w:p w14:paraId="353C977E" w14:textId="63517814" w:rsidR="0081310E" w:rsidRPr="0081310E" w:rsidRDefault="0081310E" w:rsidP="00B93ADD">
            <w:pPr>
              <w:ind w:righ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31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*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risk levels for </w:t>
            </w:r>
            <w:r w:rsidRPr="0081310E">
              <w:rPr>
                <w:rFonts w:ascii="Arial" w:hAnsi="Arial" w:cs="Arial"/>
                <w:b/>
                <w:bCs/>
                <w:sz w:val="20"/>
                <w:szCs w:val="20"/>
              </w:rPr>
              <w:t>Overseas Field Trip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s, trips or visits </w:t>
            </w:r>
            <w:r w:rsidRPr="0081310E">
              <w:rPr>
                <w:rFonts w:ascii="Arial" w:hAnsi="Arial" w:cs="Arial"/>
                <w:b/>
                <w:bCs/>
                <w:sz w:val="20"/>
                <w:szCs w:val="20"/>
              </w:rPr>
              <w:t>can only be determined when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8131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planned activities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;</w:t>
            </w:r>
            <w:r w:rsidRPr="008131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country specific information (e.g. </w:t>
            </w:r>
            <w:r w:rsidR="00EF2526">
              <w:rPr>
                <w:rFonts w:ascii="Arial" w:hAnsi="Arial" w:cs="Arial"/>
                <w:b/>
                <w:bCs/>
                <w:sz w:val="20"/>
                <w:szCs w:val="20"/>
              </w:rPr>
              <w:t>Crisis24Horizon</w:t>
            </w:r>
            <w:r w:rsidRPr="008131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ratings)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;</w:t>
            </w:r>
            <w:r w:rsidRPr="008131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participant details are known.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</w:t>
            </w:r>
            <w:r w:rsidR="00B93A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</w:t>
            </w:r>
            <w:r w:rsidRPr="008131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 absence of clear </w:t>
            </w:r>
            <w:proofErr w:type="gramStart"/>
            <w:r w:rsidRPr="0081310E">
              <w:rPr>
                <w:rFonts w:ascii="Arial" w:hAnsi="Arial" w:cs="Arial"/>
                <w:b/>
                <w:bCs/>
                <w:sz w:val="20"/>
                <w:szCs w:val="20"/>
              </w:rPr>
              <w:t>information</w:t>
            </w:r>
            <w:proofErr w:type="gramEnd"/>
            <w:r w:rsidRPr="008131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the default cannot be a ‘low risk’ determination.</w:t>
            </w:r>
          </w:p>
        </w:tc>
      </w:tr>
      <w:tr w:rsidR="00163312" w14:paraId="13BDF596" w14:textId="77777777" w:rsidTr="00163312">
        <w:tc>
          <w:tcPr>
            <w:tcW w:w="1986" w:type="dxa"/>
          </w:tcPr>
          <w:p w14:paraId="47A5DCD7" w14:textId="11A0034E" w:rsidR="00163312" w:rsidRDefault="00163312" w:rsidP="00163312">
            <w:r>
              <w:t>Field Trip emergency incident procedures</w:t>
            </w:r>
          </w:p>
        </w:tc>
        <w:tc>
          <w:tcPr>
            <w:tcW w:w="4554" w:type="dxa"/>
            <w:gridSpan w:val="2"/>
            <w:shd w:val="clear" w:color="auto" w:fill="FFF2CC" w:themeFill="accent4" w:themeFillTint="33"/>
            <w:vAlign w:val="center"/>
          </w:tcPr>
          <w:p w14:paraId="41160DD5" w14:textId="492E926A" w:rsidR="00163312" w:rsidRPr="00E76B3B" w:rsidRDefault="00163312" w:rsidP="00163312">
            <w:pPr>
              <w:jc w:val="center"/>
              <w:rPr>
                <w:rFonts w:ascii="Webdings" w:hAnsi="Webdings"/>
                <w:sz w:val="32"/>
                <w:szCs w:val="32"/>
              </w:rPr>
            </w:pPr>
            <w:r w:rsidRPr="00E76B3B">
              <w:rPr>
                <w:rFonts w:ascii="Webdings" w:hAnsi="Webdings"/>
                <w:sz w:val="32"/>
                <w:szCs w:val="32"/>
              </w:rPr>
              <w:t>a</w:t>
            </w:r>
            <w:r>
              <w:rPr>
                <w:rFonts w:ascii="Webdings" w:hAnsi="Webdings"/>
                <w:sz w:val="32"/>
                <w:szCs w:val="32"/>
              </w:rPr>
              <w:t xml:space="preserve">             </w:t>
            </w:r>
            <w:r w:rsidR="004C4A40">
              <w:rPr>
                <w:rFonts w:ascii="Webdings" w:hAnsi="Webdings"/>
                <w:sz w:val="32"/>
                <w:szCs w:val="32"/>
              </w:rPr>
              <w:t xml:space="preserve"> </w:t>
            </w:r>
            <w:r w:rsidRPr="00E76B3B">
              <w:rPr>
                <w:rFonts w:ascii="Webdings" w:hAnsi="Webdings"/>
                <w:sz w:val="32"/>
                <w:szCs w:val="32"/>
              </w:rPr>
              <w:t>a</w:t>
            </w:r>
          </w:p>
        </w:tc>
        <w:tc>
          <w:tcPr>
            <w:tcW w:w="4705" w:type="dxa"/>
            <w:gridSpan w:val="2"/>
            <w:vAlign w:val="center"/>
          </w:tcPr>
          <w:p w14:paraId="061D6EA3" w14:textId="10A23050" w:rsidR="00163312" w:rsidRDefault="00F85C77" w:rsidP="00163312">
            <w:pPr>
              <w:jc w:val="center"/>
            </w:pPr>
            <w:r w:rsidRPr="00E76B3B">
              <w:rPr>
                <w:rFonts w:ascii="Webdings" w:hAnsi="Webdings"/>
                <w:sz w:val="32"/>
                <w:szCs w:val="32"/>
              </w:rPr>
              <w:t>a</w:t>
            </w:r>
            <w:r>
              <w:rPr>
                <w:rFonts w:ascii="Webdings" w:hAnsi="Webdings"/>
                <w:sz w:val="32"/>
                <w:szCs w:val="32"/>
              </w:rPr>
              <w:t xml:space="preserve">              </w:t>
            </w:r>
            <w:r w:rsidRPr="00E76B3B">
              <w:rPr>
                <w:rFonts w:ascii="Webdings" w:hAnsi="Webdings"/>
                <w:sz w:val="32"/>
                <w:szCs w:val="32"/>
              </w:rPr>
              <w:t>a</w:t>
            </w:r>
          </w:p>
        </w:tc>
        <w:tc>
          <w:tcPr>
            <w:tcW w:w="4632" w:type="dxa"/>
            <w:gridSpan w:val="2"/>
            <w:shd w:val="clear" w:color="auto" w:fill="D9E2F3" w:themeFill="accent1" w:themeFillTint="33"/>
            <w:vAlign w:val="center"/>
          </w:tcPr>
          <w:p w14:paraId="322A16EB" w14:textId="37DEC80B" w:rsidR="00163312" w:rsidRDefault="00F85C77" w:rsidP="00F85C77">
            <w:r>
              <w:rPr>
                <w:rFonts w:ascii="Webdings" w:hAnsi="Webdings"/>
              </w:rPr>
              <w:t xml:space="preserve">       </w:t>
            </w:r>
            <w:r w:rsidRPr="007579B4">
              <w:rPr>
                <w:rFonts w:ascii="Webdings" w:hAnsi="Webdings"/>
              </w:rPr>
              <w:t>r</w:t>
            </w:r>
            <w:r>
              <w:rPr>
                <w:rFonts w:ascii="Webdings" w:hAnsi="Webdings"/>
                <w:sz w:val="32"/>
                <w:szCs w:val="32"/>
              </w:rPr>
              <w:t xml:space="preserve">              </w:t>
            </w:r>
            <w:r w:rsidRPr="007579B4">
              <w:rPr>
                <w:rFonts w:ascii="Webdings" w:hAnsi="Webdings"/>
              </w:rPr>
              <w:t>r</w:t>
            </w:r>
            <w:r>
              <w:rPr>
                <w:rFonts w:ascii="Webdings" w:hAnsi="Webdings"/>
                <w:sz w:val="32"/>
                <w:szCs w:val="32"/>
              </w:rPr>
              <w:t xml:space="preserve">  </w:t>
            </w:r>
          </w:p>
        </w:tc>
      </w:tr>
      <w:tr w:rsidR="00163312" w14:paraId="79D8B9E2" w14:textId="77777777" w:rsidTr="00163312">
        <w:tc>
          <w:tcPr>
            <w:tcW w:w="1986" w:type="dxa"/>
          </w:tcPr>
          <w:p w14:paraId="79834884" w14:textId="4D4554EF" w:rsidR="00163312" w:rsidRDefault="00163312" w:rsidP="00163312">
            <w:r>
              <w:t>Field Trip planning checklis</w:t>
            </w:r>
            <w:r w:rsidR="00081F2D">
              <w:t>t</w:t>
            </w:r>
          </w:p>
        </w:tc>
        <w:tc>
          <w:tcPr>
            <w:tcW w:w="4554" w:type="dxa"/>
            <w:gridSpan w:val="2"/>
            <w:shd w:val="clear" w:color="auto" w:fill="FFF2CC" w:themeFill="accent4" w:themeFillTint="33"/>
            <w:vAlign w:val="center"/>
          </w:tcPr>
          <w:p w14:paraId="3C81E5AA" w14:textId="7B7279D5" w:rsidR="00163312" w:rsidRPr="0018234D" w:rsidRDefault="00163312" w:rsidP="001633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Optional                               </w:t>
            </w:r>
            <w:r w:rsidRPr="00E76B3B">
              <w:rPr>
                <w:rFonts w:ascii="Webdings" w:hAnsi="Webdings"/>
                <w:sz w:val="32"/>
                <w:szCs w:val="32"/>
              </w:rPr>
              <w:t>a</w:t>
            </w:r>
          </w:p>
        </w:tc>
        <w:tc>
          <w:tcPr>
            <w:tcW w:w="4705" w:type="dxa"/>
            <w:gridSpan w:val="2"/>
            <w:vAlign w:val="center"/>
          </w:tcPr>
          <w:p w14:paraId="5E549262" w14:textId="50BADA9E" w:rsidR="00163312" w:rsidRDefault="00F85C77" w:rsidP="00163312">
            <w:pPr>
              <w:jc w:val="center"/>
            </w:pPr>
            <w:r w:rsidRPr="00E76B3B">
              <w:rPr>
                <w:rFonts w:ascii="Webdings" w:hAnsi="Webdings"/>
                <w:sz w:val="32"/>
                <w:szCs w:val="32"/>
              </w:rPr>
              <w:t>a</w:t>
            </w:r>
            <w:r>
              <w:rPr>
                <w:rFonts w:ascii="Webdings" w:hAnsi="Webdings"/>
                <w:sz w:val="32"/>
                <w:szCs w:val="32"/>
              </w:rPr>
              <w:t xml:space="preserve">              </w:t>
            </w:r>
            <w:r w:rsidRPr="00E76B3B">
              <w:rPr>
                <w:rFonts w:ascii="Webdings" w:hAnsi="Webdings"/>
                <w:sz w:val="32"/>
                <w:szCs w:val="32"/>
              </w:rPr>
              <w:t>a</w:t>
            </w:r>
          </w:p>
        </w:tc>
        <w:tc>
          <w:tcPr>
            <w:tcW w:w="4632" w:type="dxa"/>
            <w:gridSpan w:val="2"/>
            <w:shd w:val="clear" w:color="auto" w:fill="D9E2F3" w:themeFill="accent1" w:themeFillTint="33"/>
            <w:vAlign w:val="center"/>
          </w:tcPr>
          <w:p w14:paraId="6D809B75" w14:textId="78AD11E1" w:rsidR="00163312" w:rsidRDefault="00163312" w:rsidP="00163312">
            <w:pPr>
              <w:jc w:val="center"/>
            </w:pPr>
            <w:r>
              <w:rPr>
                <w:rFonts w:cstheme="minorHAnsi"/>
              </w:rPr>
              <w:t xml:space="preserve">Optional                              </w:t>
            </w:r>
            <w:r w:rsidRPr="00E76B3B">
              <w:rPr>
                <w:rFonts w:ascii="Webdings" w:hAnsi="Webdings"/>
                <w:sz w:val="32"/>
                <w:szCs w:val="32"/>
              </w:rPr>
              <w:t>a</w:t>
            </w:r>
          </w:p>
        </w:tc>
      </w:tr>
      <w:tr w:rsidR="00163312" w14:paraId="767BB660" w14:textId="77777777" w:rsidTr="00163312">
        <w:tc>
          <w:tcPr>
            <w:tcW w:w="1986" w:type="dxa"/>
          </w:tcPr>
          <w:p w14:paraId="0A5FFFFA" w14:textId="6965A144" w:rsidR="00163312" w:rsidRDefault="00163312" w:rsidP="00163312">
            <w:r>
              <w:t>Group travel planning form</w:t>
            </w:r>
          </w:p>
        </w:tc>
        <w:tc>
          <w:tcPr>
            <w:tcW w:w="4554" w:type="dxa"/>
            <w:gridSpan w:val="2"/>
            <w:shd w:val="clear" w:color="auto" w:fill="FFF2CC" w:themeFill="accent4" w:themeFillTint="33"/>
            <w:vAlign w:val="center"/>
          </w:tcPr>
          <w:p w14:paraId="1FEBCA73" w14:textId="3BBF4FAE" w:rsidR="00163312" w:rsidRDefault="00163312" w:rsidP="00163312">
            <w:pPr>
              <w:jc w:val="center"/>
            </w:pPr>
            <w:r>
              <w:rPr>
                <w:rFonts w:ascii="Webdings" w:hAnsi="Webdings"/>
              </w:rPr>
              <w:t>r</w:t>
            </w:r>
            <w:r>
              <w:rPr>
                <w:rFonts w:cstheme="minorHAnsi"/>
              </w:rPr>
              <w:t xml:space="preserve">                                     </w:t>
            </w:r>
            <w:r w:rsidR="004C4A4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 </w:t>
            </w:r>
            <w:r w:rsidRPr="00E76B3B">
              <w:rPr>
                <w:rFonts w:ascii="Webdings" w:hAnsi="Webdings"/>
                <w:sz w:val="32"/>
                <w:szCs w:val="32"/>
              </w:rPr>
              <w:t>a</w:t>
            </w:r>
          </w:p>
        </w:tc>
        <w:tc>
          <w:tcPr>
            <w:tcW w:w="4705" w:type="dxa"/>
            <w:gridSpan w:val="2"/>
            <w:vAlign w:val="center"/>
          </w:tcPr>
          <w:p w14:paraId="33C27332" w14:textId="407E5E75" w:rsidR="00163312" w:rsidRPr="00611580" w:rsidRDefault="00163312" w:rsidP="00163312">
            <w:pPr>
              <w:jc w:val="center"/>
              <w:rPr>
                <w:color w:val="FF0000"/>
              </w:rPr>
            </w:pPr>
            <w:r>
              <w:rPr>
                <w:rFonts w:ascii="Webdings" w:hAnsi="Webdings"/>
              </w:rPr>
              <w:t>r</w:t>
            </w:r>
            <w:r>
              <w:rPr>
                <w:rFonts w:cstheme="minorHAnsi"/>
              </w:rPr>
              <w:t xml:space="preserve">                                  </w:t>
            </w:r>
            <w:r w:rsidR="00F85C77">
              <w:rPr>
                <w:rFonts w:cstheme="minorHAnsi"/>
              </w:rPr>
              <w:t xml:space="preserve">        </w:t>
            </w:r>
            <w:r w:rsidRPr="00E76B3B">
              <w:rPr>
                <w:rFonts w:ascii="Webdings" w:hAnsi="Webdings"/>
                <w:sz w:val="32"/>
                <w:szCs w:val="32"/>
              </w:rPr>
              <w:t>a</w:t>
            </w:r>
          </w:p>
        </w:tc>
        <w:tc>
          <w:tcPr>
            <w:tcW w:w="4632" w:type="dxa"/>
            <w:gridSpan w:val="2"/>
            <w:shd w:val="clear" w:color="auto" w:fill="D9E2F3" w:themeFill="accent1" w:themeFillTint="33"/>
            <w:vAlign w:val="center"/>
          </w:tcPr>
          <w:p w14:paraId="45CA21B3" w14:textId="77CCB9B6" w:rsidR="00163312" w:rsidRDefault="00163312" w:rsidP="00163312">
            <w:pPr>
              <w:jc w:val="center"/>
            </w:pPr>
            <w:r w:rsidRPr="007579B4">
              <w:rPr>
                <w:rFonts w:ascii="Webdings" w:hAnsi="Webdings"/>
              </w:rPr>
              <w:t>r</w:t>
            </w:r>
            <w:r w:rsidRPr="007579B4">
              <w:rPr>
                <w:rFonts w:cstheme="minorHAnsi"/>
              </w:rPr>
              <w:t xml:space="preserve">                             </w:t>
            </w:r>
            <w:r>
              <w:rPr>
                <w:rFonts w:cstheme="minorHAnsi"/>
              </w:rPr>
              <w:t xml:space="preserve">      </w:t>
            </w:r>
            <w:r w:rsidRPr="007579B4">
              <w:rPr>
                <w:rFonts w:cstheme="minorHAnsi"/>
              </w:rPr>
              <w:t xml:space="preserve">     </w:t>
            </w:r>
            <w:r w:rsidRPr="007579B4">
              <w:rPr>
                <w:rFonts w:ascii="Webdings" w:hAnsi="Webdings"/>
                <w:sz w:val="32"/>
                <w:szCs w:val="32"/>
              </w:rPr>
              <w:t>a</w:t>
            </w:r>
          </w:p>
        </w:tc>
      </w:tr>
      <w:tr w:rsidR="00163312" w14:paraId="72EFAD67" w14:textId="77777777" w:rsidTr="00163312">
        <w:tc>
          <w:tcPr>
            <w:tcW w:w="1986" w:type="dxa"/>
          </w:tcPr>
          <w:p w14:paraId="031085BA" w14:textId="05F03F0D" w:rsidR="00163312" w:rsidRDefault="00163312" w:rsidP="00163312">
            <w:r>
              <w:t>Formal risk assessment</w:t>
            </w:r>
          </w:p>
        </w:tc>
        <w:tc>
          <w:tcPr>
            <w:tcW w:w="4554" w:type="dxa"/>
            <w:gridSpan w:val="2"/>
            <w:shd w:val="clear" w:color="auto" w:fill="FFF2CC" w:themeFill="accent4" w:themeFillTint="33"/>
            <w:vAlign w:val="center"/>
          </w:tcPr>
          <w:p w14:paraId="2BE6E5FF" w14:textId="33E73D7C" w:rsidR="00163312" w:rsidRDefault="00163312" w:rsidP="00163312">
            <w:pPr>
              <w:jc w:val="center"/>
            </w:pPr>
            <w:r>
              <w:rPr>
                <w:rFonts w:ascii="Webdings" w:hAnsi="Webdings"/>
              </w:rPr>
              <w:t>r</w:t>
            </w:r>
            <w:r>
              <w:rPr>
                <w:rFonts w:cstheme="minorHAnsi"/>
              </w:rPr>
              <w:t xml:space="preserve">                                    </w:t>
            </w:r>
            <w:r w:rsidR="004C4A40">
              <w:rPr>
                <w:rFonts w:cstheme="minorHAnsi"/>
              </w:rPr>
              <w:t xml:space="preserve">   </w:t>
            </w:r>
            <w:r>
              <w:rPr>
                <w:rFonts w:cstheme="minorHAnsi"/>
              </w:rPr>
              <w:t xml:space="preserve">  </w:t>
            </w:r>
            <w:r w:rsidRPr="00E76B3B">
              <w:rPr>
                <w:rFonts w:ascii="Webdings" w:hAnsi="Webdings"/>
                <w:sz w:val="32"/>
                <w:szCs w:val="32"/>
              </w:rPr>
              <w:t>a</w:t>
            </w:r>
          </w:p>
        </w:tc>
        <w:tc>
          <w:tcPr>
            <w:tcW w:w="4705" w:type="dxa"/>
            <w:gridSpan w:val="2"/>
            <w:vAlign w:val="center"/>
          </w:tcPr>
          <w:p w14:paraId="54122EAC" w14:textId="3B7E121F" w:rsidR="00163312" w:rsidRPr="00611580" w:rsidRDefault="00163312" w:rsidP="00163312">
            <w:pPr>
              <w:jc w:val="center"/>
              <w:rPr>
                <w:color w:val="FF0000"/>
              </w:rPr>
            </w:pPr>
            <w:r>
              <w:rPr>
                <w:rFonts w:ascii="Webdings" w:hAnsi="Webdings"/>
              </w:rPr>
              <w:t>r</w:t>
            </w:r>
            <w:r>
              <w:rPr>
                <w:rFonts w:cstheme="minorHAnsi"/>
              </w:rPr>
              <w:t xml:space="preserve">                 </w:t>
            </w:r>
            <w:r w:rsidR="00F85C77">
              <w:rPr>
                <w:rFonts w:cstheme="minorHAnsi"/>
              </w:rPr>
              <w:t xml:space="preserve">         </w:t>
            </w:r>
            <w:r>
              <w:rPr>
                <w:rFonts w:cstheme="minorHAnsi"/>
              </w:rPr>
              <w:t xml:space="preserve">                 </w:t>
            </w:r>
            <w:r w:rsidRPr="00E76B3B">
              <w:rPr>
                <w:rFonts w:ascii="Webdings" w:hAnsi="Webdings"/>
                <w:sz w:val="32"/>
                <w:szCs w:val="32"/>
              </w:rPr>
              <w:t>a</w:t>
            </w:r>
          </w:p>
        </w:tc>
        <w:tc>
          <w:tcPr>
            <w:tcW w:w="4632" w:type="dxa"/>
            <w:gridSpan w:val="2"/>
            <w:shd w:val="clear" w:color="auto" w:fill="D9E2F3" w:themeFill="accent1" w:themeFillTint="33"/>
            <w:vAlign w:val="center"/>
          </w:tcPr>
          <w:p w14:paraId="58954E74" w14:textId="11F0B11E" w:rsidR="00163312" w:rsidRDefault="00163312" w:rsidP="00163312">
            <w:pPr>
              <w:jc w:val="center"/>
            </w:pPr>
            <w:r w:rsidRPr="007579B4">
              <w:rPr>
                <w:rFonts w:ascii="Webdings" w:hAnsi="Webdings"/>
              </w:rPr>
              <w:t>r</w:t>
            </w:r>
            <w:r w:rsidRPr="007579B4">
              <w:rPr>
                <w:rFonts w:cstheme="minorHAnsi"/>
              </w:rPr>
              <w:t xml:space="preserve">                         </w:t>
            </w:r>
            <w:r>
              <w:rPr>
                <w:rFonts w:cstheme="minorHAnsi"/>
              </w:rPr>
              <w:t xml:space="preserve">     </w:t>
            </w:r>
            <w:r w:rsidRPr="007579B4">
              <w:rPr>
                <w:rFonts w:cstheme="minorHAnsi"/>
              </w:rPr>
              <w:t xml:space="preserve">         </w:t>
            </w:r>
            <w:r w:rsidRPr="007579B4">
              <w:rPr>
                <w:rFonts w:ascii="Webdings" w:hAnsi="Webdings"/>
                <w:sz w:val="32"/>
                <w:szCs w:val="32"/>
              </w:rPr>
              <w:t>a</w:t>
            </w:r>
          </w:p>
        </w:tc>
      </w:tr>
      <w:tr w:rsidR="00EB2DC7" w14:paraId="18715FE6" w14:textId="77777777" w:rsidTr="00EB2DC7">
        <w:tc>
          <w:tcPr>
            <w:tcW w:w="1986" w:type="dxa"/>
          </w:tcPr>
          <w:p w14:paraId="6FDC2C85" w14:textId="6700F8AE" w:rsidR="00EB2DC7" w:rsidRDefault="00EB2DC7" w:rsidP="00EB2DC7">
            <w:r w:rsidRPr="00EB2DC7">
              <w:rPr>
                <w:u w:val="single"/>
              </w:rPr>
              <w:t xml:space="preserve">Overseas </w:t>
            </w:r>
            <w:r>
              <w:t xml:space="preserve">Travel risk assessment </w:t>
            </w:r>
          </w:p>
        </w:tc>
        <w:tc>
          <w:tcPr>
            <w:tcW w:w="4554" w:type="dxa"/>
            <w:gridSpan w:val="2"/>
            <w:shd w:val="clear" w:color="auto" w:fill="FFF2CC" w:themeFill="accent4" w:themeFillTint="33"/>
            <w:vAlign w:val="center"/>
          </w:tcPr>
          <w:p w14:paraId="6CA4DDEE" w14:textId="2C9C221D" w:rsidR="00EB2DC7" w:rsidRPr="00EB2DC7" w:rsidRDefault="00F85C77" w:rsidP="00EB2DC7">
            <w:pPr>
              <w:jc w:val="center"/>
              <w:rPr>
                <w:color w:val="000000" w:themeColor="text1"/>
              </w:rPr>
            </w:pPr>
            <w:r w:rsidRPr="00E76B3B">
              <w:rPr>
                <w:rFonts w:ascii="Webdings" w:hAnsi="Webdings"/>
                <w:sz w:val="32"/>
                <w:szCs w:val="32"/>
              </w:rPr>
              <w:t>a</w:t>
            </w:r>
            <w:r>
              <w:rPr>
                <w:rFonts w:ascii="Webdings" w:hAnsi="Webdings"/>
                <w:sz w:val="32"/>
                <w:szCs w:val="32"/>
              </w:rPr>
              <w:t xml:space="preserve">              </w:t>
            </w:r>
            <w:r w:rsidRPr="00E76B3B">
              <w:rPr>
                <w:rFonts w:ascii="Webdings" w:hAnsi="Webdings"/>
                <w:sz w:val="32"/>
                <w:szCs w:val="32"/>
              </w:rPr>
              <w:t>a</w:t>
            </w:r>
          </w:p>
        </w:tc>
        <w:tc>
          <w:tcPr>
            <w:tcW w:w="4705" w:type="dxa"/>
            <w:gridSpan w:val="2"/>
            <w:vAlign w:val="center"/>
          </w:tcPr>
          <w:p w14:paraId="0BE2D7CB" w14:textId="23FBF8A4" w:rsidR="00EB2DC7" w:rsidRPr="00EB2DC7" w:rsidRDefault="00F85C77" w:rsidP="00EB2DC7">
            <w:pPr>
              <w:jc w:val="center"/>
              <w:rPr>
                <w:color w:val="000000" w:themeColor="text1"/>
              </w:rPr>
            </w:pPr>
            <w:r w:rsidRPr="00E76B3B">
              <w:rPr>
                <w:rFonts w:ascii="Webdings" w:hAnsi="Webdings"/>
                <w:sz w:val="32"/>
                <w:szCs w:val="32"/>
              </w:rPr>
              <w:t>a</w:t>
            </w:r>
            <w:r>
              <w:rPr>
                <w:rFonts w:ascii="Webdings" w:hAnsi="Webdings"/>
                <w:sz w:val="32"/>
                <w:szCs w:val="32"/>
              </w:rPr>
              <w:t xml:space="preserve">              </w:t>
            </w:r>
            <w:r w:rsidRPr="00E76B3B">
              <w:rPr>
                <w:rFonts w:ascii="Webdings" w:hAnsi="Webdings"/>
                <w:sz w:val="32"/>
                <w:szCs w:val="32"/>
              </w:rPr>
              <w:t>a</w:t>
            </w:r>
          </w:p>
        </w:tc>
        <w:tc>
          <w:tcPr>
            <w:tcW w:w="4632" w:type="dxa"/>
            <w:gridSpan w:val="2"/>
            <w:shd w:val="clear" w:color="auto" w:fill="D9E2F3" w:themeFill="accent1" w:themeFillTint="33"/>
            <w:vAlign w:val="center"/>
          </w:tcPr>
          <w:p w14:paraId="187D429E" w14:textId="2293D44F" w:rsidR="00EB2DC7" w:rsidRPr="00EB2DC7" w:rsidRDefault="00F85C77" w:rsidP="00EB2DC7">
            <w:pPr>
              <w:jc w:val="center"/>
              <w:rPr>
                <w:color w:val="000000" w:themeColor="text1"/>
              </w:rPr>
            </w:pPr>
            <w:r w:rsidRPr="00E76B3B">
              <w:rPr>
                <w:rFonts w:ascii="Webdings" w:hAnsi="Webdings"/>
                <w:sz w:val="32"/>
                <w:szCs w:val="32"/>
              </w:rPr>
              <w:t>a</w:t>
            </w:r>
            <w:r>
              <w:rPr>
                <w:rFonts w:ascii="Webdings" w:hAnsi="Webdings"/>
                <w:sz w:val="32"/>
                <w:szCs w:val="32"/>
              </w:rPr>
              <w:t xml:space="preserve">             </w:t>
            </w:r>
            <w:r w:rsidRPr="00E76B3B">
              <w:rPr>
                <w:rFonts w:ascii="Webdings" w:hAnsi="Webdings"/>
                <w:sz w:val="32"/>
                <w:szCs w:val="32"/>
              </w:rPr>
              <w:t>a</w:t>
            </w:r>
          </w:p>
        </w:tc>
      </w:tr>
      <w:tr w:rsidR="00EB2DC7" w14:paraId="540D191C" w14:textId="77777777" w:rsidTr="00163312">
        <w:tc>
          <w:tcPr>
            <w:tcW w:w="1986" w:type="dxa"/>
          </w:tcPr>
          <w:p w14:paraId="5078AC62" w14:textId="46357D74" w:rsidR="00EB2DC7" w:rsidRDefault="00CD7F24" w:rsidP="00EB2DC7">
            <w:r>
              <w:t>Accommodation Checklist</w:t>
            </w:r>
            <w:r w:rsidR="00EB2DC7">
              <w:t xml:space="preserve"> </w:t>
            </w:r>
          </w:p>
        </w:tc>
        <w:tc>
          <w:tcPr>
            <w:tcW w:w="4554" w:type="dxa"/>
            <w:gridSpan w:val="2"/>
            <w:shd w:val="clear" w:color="auto" w:fill="FFF2CC" w:themeFill="accent4" w:themeFillTint="33"/>
          </w:tcPr>
          <w:p w14:paraId="4079FD6C" w14:textId="69D634B1" w:rsidR="00EB2DC7" w:rsidRDefault="00EB2DC7" w:rsidP="00EB2DC7">
            <w:pPr>
              <w:jc w:val="center"/>
            </w:pPr>
            <w:r>
              <w:t>Applicable where any bookings are not made via University T</w:t>
            </w:r>
            <w:r w:rsidR="00B93ADD">
              <w:t xml:space="preserve">ravel </w:t>
            </w:r>
            <w:r>
              <w:t>M</w:t>
            </w:r>
            <w:r w:rsidR="00B93ADD">
              <w:t xml:space="preserve">anagement </w:t>
            </w:r>
            <w:r w:rsidR="006355E0">
              <w:t>C</w:t>
            </w:r>
            <w:r w:rsidR="00B93ADD">
              <w:t>ompanie</w:t>
            </w:r>
            <w:r>
              <w:t>s</w:t>
            </w:r>
            <w:r w:rsidR="00B93ADD">
              <w:t xml:space="preserve"> (TMCs)</w:t>
            </w:r>
          </w:p>
        </w:tc>
        <w:tc>
          <w:tcPr>
            <w:tcW w:w="4705" w:type="dxa"/>
            <w:gridSpan w:val="2"/>
          </w:tcPr>
          <w:p w14:paraId="22FBFF90" w14:textId="6A589ECC" w:rsidR="00EB2DC7" w:rsidRDefault="00EB2DC7" w:rsidP="00EB2DC7">
            <w:pPr>
              <w:jc w:val="center"/>
            </w:pPr>
            <w:r>
              <w:t xml:space="preserve">Applicable where any bookings are not made via University </w:t>
            </w:r>
            <w:r w:rsidR="00B93ADD">
              <w:t>Travel Management Companies (TMCs)</w:t>
            </w:r>
          </w:p>
        </w:tc>
        <w:tc>
          <w:tcPr>
            <w:tcW w:w="4632" w:type="dxa"/>
            <w:gridSpan w:val="2"/>
            <w:shd w:val="clear" w:color="auto" w:fill="D9E2F3" w:themeFill="accent1" w:themeFillTint="33"/>
          </w:tcPr>
          <w:p w14:paraId="3887FD4C" w14:textId="3B97377E" w:rsidR="00EB2DC7" w:rsidRDefault="00EB2DC7" w:rsidP="00EB2DC7">
            <w:pPr>
              <w:jc w:val="center"/>
            </w:pPr>
            <w:r>
              <w:t xml:space="preserve">Applicable where any bookings are not made via </w:t>
            </w:r>
            <w:r w:rsidR="00B93ADD">
              <w:t>Travel Management Companies (TMCs)</w:t>
            </w:r>
          </w:p>
        </w:tc>
      </w:tr>
    </w:tbl>
    <w:p w14:paraId="4EA0BABD" w14:textId="0728B643" w:rsidR="00F85C77" w:rsidRPr="006355E0" w:rsidRDefault="00F85C77" w:rsidP="00F85C77">
      <w:pPr>
        <w:rPr>
          <w:sz w:val="16"/>
          <w:szCs w:val="16"/>
        </w:rPr>
      </w:pPr>
    </w:p>
    <w:p w14:paraId="3FE4D466" w14:textId="6BA72C0C" w:rsidR="00F85C77" w:rsidRPr="00F85C77" w:rsidRDefault="006355E0" w:rsidP="0081310E">
      <w:r w:rsidRPr="0081310E">
        <w:rPr>
          <w:b/>
          <w:bCs/>
        </w:rPr>
        <w:t>STUDENT PLACEMENTS</w:t>
      </w:r>
      <w:r>
        <w:t xml:space="preserve">: </w:t>
      </w:r>
      <w:hyperlink r:id="rId6" w:history="1">
        <w:r w:rsidR="0081310E" w:rsidRPr="0081310E">
          <w:rPr>
            <w:rStyle w:val="Hyperlink"/>
            <w:sz w:val="14"/>
            <w:szCs w:val="14"/>
          </w:rPr>
          <w:t>Student placement health and safety | University of Essex</w:t>
        </w:r>
      </w:hyperlink>
      <w:r>
        <w:tab/>
      </w:r>
      <w:proofErr w:type="spellStart"/>
      <w:r w:rsidRPr="0081310E">
        <w:rPr>
          <w:b/>
          <w:bCs/>
        </w:rPr>
        <w:t>E</w:t>
      </w:r>
      <w:r w:rsidR="0081310E" w:rsidRPr="0081310E">
        <w:rPr>
          <w:b/>
          <w:bCs/>
        </w:rPr>
        <w:t>SSEX</w:t>
      </w:r>
      <w:proofErr w:type="spellEnd"/>
      <w:r w:rsidR="0081310E" w:rsidRPr="0081310E">
        <w:rPr>
          <w:b/>
          <w:bCs/>
        </w:rPr>
        <w:t xml:space="preserve"> ABROAD/STUDY ABROAD</w:t>
      </w:r>
      <w:r w:rsidR="0081310E">
        <w:t>:</w:t>
      </w:r>
      <w:r w:rsidR="0081310E" w:rsidRPr="0081310E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="0081310E" w:rsidRPr="0081310E">
          <w:rPr>
            <w:rStyle w:val="Hyperlink"/>
            <w:rFonts w:ascii="Arial" w:hAnsi="Arial" w:cs="Arial"/>
            <w:sz w:val="14"/>
            <w:szCs w:val="14"/>
          </w:rPr>
          <w:t>https://www.essex.ac.uk/study-abroad/essex-students/preparing-to-go-abroad</w:t>
        </w:r>
      </w:hyperlink>
    </w:p>
    <w:sectPr w:rsidR="00F85C77" w:rsidRPr="00F85C77" w:rsidSect="006355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021" w:right="1440" w:bottom="567" w:left="1440" w:header="51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1CE5F" w14:textId="77777777" w:rsidR="00AE7141" w:rsidRDefault="00AE7141" w:rsidP="00F53B1F">
      <w:r>
        <w:separator/>
      </w:r>
    </w:p>
  </w:endnote>
  <w:endnote w:type="continuationSeparator" w:id="0">
    <w:p w14:paraId="38DF9856" w14:textId="77777777" w:rsidR="00AE7141" w:rsidRDefault="00AE7141" w:rsidP="00F53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88571823"/>
      <w:docPartObj>
        <w:docPartGallery w:val="Page Numbers (Bottom of Page)"/>
        <w:docPartUnique/>
      </w:docPartObj>
    </w:sdtPr>
    <w:sdtContent>
      <w:p w14:paraId="0B9CFAEC" w14:textId="24AD19C5" w:rsidR="00EB2DC7" w:rsidRDefault="00EB2DC7" w:rsidP="002B2D3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A0E3912" w14:textId="77777777" w:rsidR="00EB2DC7" w:rsidRDefault="00EB2DC7" w:rsidP="00EB2DC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sz w:val="16"/>
        <w:szCs w:val="16"/>
      </w:rPr>
      <w:id w:val="1159497073"/>
      <w:docPartObj>
        <w:docPartGallery w:val="Page Numbers (Bottom of Page)"/>
        <w:docPartUnique/>
      </w:docPartObj>
    </w:sdtPr>
    <w:sdtContent>
      <w:p w14:paraId="0854AB30" w14:textId="569A52C5" w:rsidR="00EB2DC7" w:rsidRPr="00EB2DC7" w:rsidRDefault="00EB2DC7" w:rsidP="002B2D3F">
        <w:pPr>
          <w:pStyle w:val="Footer"/>
          <w:framePr w:wrap="none" w:vAnchor="text" w:hAnchor="margin" w:xAlign="right" w:y="1"/>
          <w:rPr>
            <w:rStyle w:val="PageNumber"/>
            <w:sz w:val="16"/>
            <w:szCs w:val="16"/>
          </w:rPr>
        </w:pPr>
        <w:r w:rsidRPr="00EB2DC7">
          <w:rPr>
            <w:rStyle w:val="PageNumber"/>
            <w:sz w:val="16"/>
            <w:szCs w:val="16"/>
          </w:rPr>
          <w:fldChar w:fldCharType="begin"/>
        </w:r>
        <w:r w:rsidRPr="00EB2DC7">
          <w:rPr>
            <w:rStyle w:val="PageNumber"/>
            <w:sz w:val="16"/>
            <w:szCs w:val="16"/>
          </w:rPr>
          <w:instrText xml:space="preserve"> PAGE </w:instrText>
        </w:r>
        <w:r w:rsidRPr="00EB2DC7">
          <w:rPr>
            <w:rStyle w:val="PageNumber"/>
            <w:sz w:val="16"/>
            <w:szCs w:val="16"/>
          </w:rPr>
          <w:fldChar w:fldCharType="separate"/>
        </w:r>
        <w:r w:rsidRPr="00EB2DC7">
          <w:rPr>
            <w:rStyle w:val="PageNumber"/>
            <w:noProof/>
            <w:sz w:val="16"/>
            <w:szCs w:val="16"/>
          </w:rPr>
          <w:t>1</w:t>
        </w:r>
        <w:r w:rsidRPr="00EB2DC7">
          <w:rPr>
            <w:rStyle w:val="PageNumber"/>
            <w:sz w:val="16"/>
            <w:szCs w:val="16"/>
          </w:rPr>
          <w:fldChar w:fldCharType="end"/>
        </w:r>
      </w:p>
    </w:sdtContent>
  </w:sdt>
  <w:p w14:paraId="61CB7991" w14:textId="559E6D04" w:rsidR="00EB2DC7" w:rsidRPr="00EB2DC7" w:rsidRDefault="00EB2DC7" w:rsidP="00EB2DC7">
    <w:pPr>
      <w:rPr>
        <w:sz w:val="16"/>
        <w:szCs w:val="16"/>
      </w:rPr>
    </w:pPr>
    <w:r>
      <w:rPr>
        <w:sz w:val="16"/>
        <w:szCs w:val="16"/>
      </w:rPr>
      <w:t>WHSW</w:t>
    </w:r>
    <w:r w:rsidR="00C071D4">
      <w:rPr>
        <w:sz w:val="16"/>
        <w:szCs w:val="16"/>
      </w:rPr>
      <w:t>/</w:t>
    </w:r>
    <w:r>
      <w:rPr>
        <w:sz w:val="16"/>
        <w:szCs w:val="16"/>
      </w:rPr>
      <w:t xml:space="preserve"> Table for documentation requirements</w:t>
    </w:r>
    <w:r>
      <w:rPr>
        <w:sz w:val="16"/>
        <w:szCs w:val="16"/>
      </w:rPr>
      <w:tab/>
    </w:r>
    <w:r>
      <w:rPr>
        <w:sz w:val="16"/>
        <w:szCs w:val="16"/>
      </w:rPr>
      <w:tab/>
    </w:r>
    <w:r w:rsidR="00F85C77">
      <w:rPr>
        <w:sz w:val="16"/>
        <w:szCs w:val="16"/>
      </w:rPr>
      <w:t xml:space="preserve">                                                                       </w:t>
    </w:r>
    <w:r w:rsidR="00CD7F24">
      <w:rPr>
        <w:sz w:val="16"/>
        <w:szCs w:val="16"/>
      </w:rPr>
      <w:t>22</w:t>
    </w:r>
    <w:r w:rsidR="00731144">
      <w:rPr>
        <w:sz w:val="16"/>
        <w:szCs w:val="16"/>
      </w:rPr>
      <w:t xml:space="preserve"> </w:t>
    </w:r>
    <w:r w:rsidR="00CD7F24">
      <w:rPr>
        <w:sz w:val="16"/>
        <w:szCs w:val="16"/>
      </w:rPr>
      <w:t>August</w:t>
    </w:r>
    <w:r w:rsidR="00731144">
      <w:rPr>
        <w:sz w:val="16"/>
        <w:szCs w:val="16"/>
      </w:rPr>
      <w:t xml:space="preserve"> 202</w:t>
    </w:r>
    <w:r w:rsidR="00CD7F24">
      <w:rPr>
        <w:sz w:val="16"/>
        <w:szCs w:val="16"/>
      </w:rPr>
      <w:t>3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ADD73" w14:textId="77777777" w:rsidR="008307BB" w:rsidRDefault="008307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5DBA3" w14:textId="77777777" w:rsidR="00AE7141" w:rsidRDefault="00AE7141" w:rsidP="00F53B1F">
      <w:r>
        <w:separator/>
      </w:r>
    </w:p>
  </w:footnote>
  <w:footnote w:type="continuationSeparator" w:id="0">
    <w:p w14:paraId="2C5201BC" w14:textId="77777777" w:rsidR="00AE7141" w:rsidRDefault="00AE7141" w:rsidP="00F53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A1B1E" w14:textId="77777777" w:rsidR="008307BB" w:rsidRDefault="008307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FEABE" w14:textId="31BE61DA" w:rsidR="00F53B1F" w:rsidRPr="00F53B1F" w:rsidRDefault="00F53B1F" w:rsidP="00F53B1F">
    <w:pPr>
      <w:pStyle w:val="Header"/>
      <w:jc w:val="center"/>
      <w:rPr>
        <w:b/>
        <w:bCs/>
        <w:sz w:val="28"/>
        <w:szCs w:val="28"/>
      </w:rPr>
    </w:pPr>
    <w:r w:rsidRPr="00F53B1F">
      <w:rPr>
        <w:b/>
        <w:bCs/>
        <w:sz w:val="28"/>
        <w:szCs w:val="28"/>
      </w:rPr>
      <w:t>Planning and risk assessment – Field Trips and off-site visits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941D3" w14:textId="77777777" w:rsidR="008307BB" w:rsidRDefault="008307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B1F"/>
    <w:rsid w:val="00064FDD"/>
    <w:rsid w:val="00081F2D"/>
    <w:rsid w:val="000F1332"/>
    <w:rsid w:val="001615A8"/>
    <w:rsid w:val="00163312"/>
    <w:rsid w:val="0018234D"/>
    <w:rsid w:val="00235234"/>
    <w:rsid w:val="0024780A"/>
    <w:rsid w:val="002778B5"/>
    <w:rsid w:val="004C370C"/>
    <w:rsid w:val="004C4A40"/>
    <w:rsid w:val="00552C87"/>
    <w:rsid w:val="005F58EC"/>
    <w:rsid w:val="00611580"/>
    <w:rsid w:val="006355E0"/>
    <w:rsid w:val="00731144"/>
    <w:rsid w:val="007D1094"/>
    <w:rsid w:val="0081310E"/>
    <w:rsid w:val="008307BB"/>
    <w:rsid w:val="00A12C06"/>
    <w:rsid w:val="00A21F6A"/>
    <w:rsid w:val="00AE7141"/>
    <w:rsid w:val="00B62454"/>
    <w:rsid w:val="00B93ADD"/>
    <w:rsid w:val="00C071D4"/>
    <w:rsid w:val="00CD7F24"/>
    <w:rsid w:val="00E76B3B"/>
    <w:rsid w:val="00E9321A"/>
    <w:rsid w:val="00EB2DC7"/>
    <w:rsid w:val="00EC36F1"/>
    <w:rsid w:val="00EF2526"/>
    <w:rsid w:val="00F53B1F"/>
    <w:rsid w:val="00F85C77"/>
    <w:rsid w:val="00F9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CF6F1"/>
  <w15:chartTrackingRefBased/>
  <w15:docId w15:val="{75679108-4EAF-B443-9D55-0675ED87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3B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3B1F"/>
  </w:style>
  <w:style w:type="paragraph" w:styleId="Footer">
    <w:name w:val="footer"/>
    <w:basedOn w:val="Normal"/>
    <w:link w:val="FooterChar"/>
    <w:uiPriority w:val="99"/>
    <w:unhideWhenUsed/>
    <w:rsid w:val="00F53B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B1F"/>
  </w:style>
  <w:style w:type="table" w:styleId="TableGrid">
    <w:name w:val="Table Grid"/>
    <w:basedOn w:val="TableNormal"/>
    <w:uiPriority w:val="39"/>
    <w:rsid w:val="00277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633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33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33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33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3312"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EB2DC7"/>
  </w:style>
  <w:style w:type="paragraph" w:styleId="ListParagraph">
    <w:name w:val="List Paragraph"/>
    <w:basedOn w:val="Normal"/>
    <w:uiPriority w:val="34"/>
    <w:qFormat/>
    <w:rsid w:val="00F85C7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1310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7F24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F2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essex.ac.uk/study-abroad/essex-students/preparing-to-go-abroad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ssex.ac.uk/staff/activities-health-and-safety/student-placements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Field Trips - Overseas Travel</vt:lpstr>
    </vt:vector>
  </TitlesOfParts>
  <Manager/>
  <Company>Lilie Fixes Ltd</Company>
  <LinksUpToDate>false</LinksUpToDate>
  <CharactersWithSpaces>2752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Field Trips - Overseas Travel</dc:title>
  <dc:subject>Table for approvals and requirements</dc:subject>
  <dc:creator>Sarah Lilienthal</dc:creator>
  <cp:keywords/>
  <dc:description/>
  <cp:lastModifiedBy>Shand, Glyn C</cp:lastModifiedBy>
  <cp:revision>2</cp:revision>
  <dcterms:created xsi:type="dcterms:W3CDTF">2024-04-22T11:00:00Z</dcterms:created>
  <dcterms:modified xsi:type="dcterms:W3CDTF">2024-04-22T11:00:00Z</dcterms:modified>
  <cp:category/>
</cp:coreProperties>
</file>