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shd w:val="clear" w:color="auto" w:fill="007A87"/>
        <w:tblCellMar>
          <w:top w:w="120" w:type="dxa"/>
          <w:left w:w="0" w:type="dxa"/>
          <w:bottom w:w="120" w:type="dxa"/>
          <w:right w:w="0" w:type="dxa"/>
        </w:tblCellMar>
        <w:tblLook w:val="04A0" w:firstRow="1" w:lastRow="0" w:firstColumn="1" w:lastColumn="0" w:noHBand="0" w:noVBand="1"/>
      </w:tblPr>
      <w:tblGrid>
        <w:gridCol w:w="11008"/>
      </w:tblGrid>
      <w:tr w:rsidR="00FD0912" w:rsidTr="00413683">
        <w:trPr>
          <w:trHeight w:val="721"/>
        </w:trPr>
        <w:tc>
          <w:tcPr>
            <w:tcW w:w="5000" w:type="pct"/>
            <w:shd w:val="clear" w:color="auto" w:fill="D55C19"/>
          </w:tcPr>
          <w:p w:rsidR="00FD0912" w:rsidRPr="00C57403" w:rsidRDefault="00413683" w:rsidP="00C57403">
            <w:pPr>
              <w:spacing w:after="0" w:line="240" w:lineRule="auto"/>
              <w:ind w:left="147"/>
              <w:rPr>
                <w:rFonts w:ascii="Times New Roman" w:hAnsi="Times New Roman" w:cs="Times New Roman"/>
                <w:color w:val="FFFFFF" w:themeColor="background1"/>
                <w:sz w:val="48"/>
                <w:szCs w:val="48"/>
              </w:rPr>
            </w:pPr>
            <w:r>
              <w:rPr>
                <w:rFonts w:ascii="Times New Roman" w:hAnsi="Times New Roman" w:cs="Times New Roman"/>
                <w:color w:val="FFFFFF" w:themeColor="background1"/>
                <w:sz w:val="48"/>
                <w:szCs w:val="48"/>
              </w:rPr>
              <w:t xml:space="preserve">Calculating Nominal Ocular Hazard Distance </w:t>
            </w:r>
            <w:r w:rsidR="00004134">
              <w:rPr>
                <w:rFonts w:ascii="Times New Roman" w:hAnsi="Times New Roman" w:cs="Times New Roman"/>
                <w:color w:val="FFFFFF" w:themeColor="background1"/>
                <w:sz w:val="48"/>
                <w:szCs w:val="48"/>
              </w:rPr>
              <w:t>Guidance</w:t>
            </w:r>
          </w:p>
        </w:tc>
      </w:tr>
    </w:tbl>
    <w:p w:rsidR="00413683" w:rsidRDefault="00413683" w:rsidP="00413683">
      <w:r>
        <w:t xml:space="preserve">The Maximum Permissible Exposure (MPE) </w:t>
      </w:r>
      <w:proofErr w:type="gramStart"/>
      <w:r>
        <w:t>are</w:t>
      </w:r>
      <w:proofErr w:type="gramEnd"/>
      <w:r>
        <w:t xml:space="preserve"> limits for laser exposure for eyes and skin that have been incorporated into various standards, including the current British Standard BS EN 60825-1:2007. The MPEs have a safety factor built in and if they are not exceeded then no injury from laser exposure should result.</w:t>
      </w:r>
    </w:p>
    <w:p w:rsidR="00413683" w:rsidRDefault="00413683" w:rsidP="00413683">
      <w:r>
        <w:t>MPEs are used to calculate Nominal Ocular Hazard Distance (NOHD) and the Hazard Distance (HD) for eye and skin exposure respectively. If you are accidentally exposed to a laser it is unlikely you will be harmed if your exposure distance from the laser aperture is greater than the NOHD or HD. If your exposure distance is less than the NOHD and HD you are at risk from serious harm.</w:t>
      </w:r>
    </w:p>
    <w:p w:rsidR="00413683" w:rsidRDefault="00413683" w:rsidP="00413683">
      <w:r>
        <w:t xml:space="preserve">Calculating the NOHD and HD for your laser will help you understand and manage the risk it presents. However, it is only part of the health and safety management of working with lasers and should not be relied on as the sole means to controlling the laser and non-laser hazards. For information on laser risk assessment and controls go to </w:t>
      </w:r>
      <w:hyperlink r:id="rId9" w:history="1">
        <w:r>
          <w:rPr>
            <w:rStyle w:val="Hyperlink"/>
            <w:rFonts w:ascii="Verdana" w:hAnsi="Verdana"/>
          </w:rPr>
          <w:t>AURPO Guidance on the safe use of lasers on education and research</w:t>
        </w:r>
      </w:hyperlink>
      <w:r>
        <w:rPr>
          <w:rFonts w:ascii="Verdana" w:hAnsi="Verdana"/>
          <w:color w:val="000080"/>
        </w:rPr>
        <w:t>.</w:t>
      </w:r>
    </w:p>
    <w:p w:rsidR="00413683" w:rsidRDefault="00413683" w:rsidP="00413683">
      <w:r>
        <w:t>For more information on:</w:t>
      </w:r>
    </w:p>
    <w:p w:rsidR="00413683" w:rsidRDefault="00413683" w:rsidP="00413683">
      <w:pPr>
        <w:pStyle w:val="ListParagraph"/>
        <w:numPr>
          <w:ilvl w:val="0"/>
          <w:numId w:val="30"/>
        </w:numPr>
        <w:contextualSpacing/>
      </w:pPr>
      <w:r>
        <w:t>pulsed laser MPE and NOHD calculations</w:t>
      </w:r>
    </w:p>
    <w:p w:rsidR="00413683" w:rsidRDefault="00413683" w:rsidP="00413683">
      <w:pPr>
        <w:pStyle w:val="ListParagraph"/>
        <w:numPr>
          <w:ilvl w:val="0"/>
          <w:numId w:val="30"/>
        </w:numPr>
        <w:contextualSpacing/>
      </w:pPr>
      <w:r>
        <w:t>MPE and HD for skin exposure</w:t>
      </w:r>
    </w:p>
    <w:p w:rsidR="00413683" w:rsidRDefault="00413683" w:rsidP="00413683">
      <w:pPr>
        <w:pStyle w:val="ListParagraph"/>
        <w:numPr>
          <w:ilvl w:val="0"/>
          <w:numId w:val="30"/>
        </w:numPr>
        <w:contextualSpacing/>
      </w:pPr>
      <w:proofErr w:type="spellStart"/>
      <w:r>
        <w:t>affects</w:t>
      </w:r>
      <w:proofErr w:type="spellEnd"/>
      <w:r>
        <w:t xml:space="preserve"> of viewing optics</w:t>
      </w:r>
    </w:p>
    <w:p w:rsidR="00413683" w:rsidRDefault="00413683" w:rsidP="00413683">
      <w:pPr>
        <w:pStyle w:val="ListParagraph"/>
        <w:numPr>
          <w:ilvl w:val="0"/>
          <w:numId w:val="30"/>
        </w:numPr>
        <w:contextualSpacing/>
      </w:pPr>
      <w:r>
        <w:t>extended sources</w:t>
      </w:r>
    </w:p>
    <w:p w:rsidR="00413683" w:rsidRDefault="00413683" w:rsidP="00413683">
      <w:proofErr w:type="gramStart"/>
      <w:r>
        <w:t>contact</w:t>
      </w:r>
      <w:proofErr w:type="gramEnd"/>
      <w:r>
        <w:t xml:space="preserve"> the UNIRPA for guidance.</w:t>
      </w:r>
    </w:p>
    <w:p w:rsidR="00C57403" w:rsidRPr="00CB3D55" w:rsidRDefault="00413683" w:rsidP="00C57403">
      <w:pPr>
        <w:rPr>
          <w:lang w:eastAsia="en-GB"/>
        </w:rPr>
      </w:pPr>
      <w:r>
        <w:t>Below is a basic step by step guide to calculating a NOHD for a continuous wave laser with two worked examples.</w:t>
      </w:r>
    </w:p>
    <w:tbl>
      <w:tblPr>
        <w:tblStyle w:val="TableGrid"/>
        <w:tblW w:w="0" w:type="auto"/>
        <w:tblInd w:w="108" w:type="dxa"/>
        <w:tblLayout w:type="fixed"/>
        <w:tblLook w:val="04A0" w:firstRow="1" w:lastRow="0" w:firstColumn="1" w:lastColumn="0" w:noHBand="0" w:noVBand="1"/>
      </w:tblPr>
      <w:tblGrid>
        <w:gridCol w:w="1747"/>
        <w:gridCol w:w="1103"/>
        <w:gridCol w:w="2680"/>
        <w:gridCol w:w="5527"/>
      </w:tblGrid>
      <w:tr w:rsidR="00BE5973" w:rsidRPr="00AF3FA7" w:rsidTr="00125176">
        <w:tc>
          <w:tcPr>
            <w:tcW w:w="1747" w:type="dxa"/>
            <w:shd w:val="clear" w:color="auto" w:fill="BFBFBF" w:themeFill="background1" w:themeFillShade="BF"/>
          </w:tcPr>
          <w:p w:rsidR="00BE5973" w:rsidRPr="00AF3FA7" w:rsidRDefault="00BE5973" w:rsidP="00AB547C">
            <w:pPr>
              <w:jc w:val="center"/>
              <w:rPr>
                <w:b/>
              </w:rPr>
            </w:pPr>
            <w:r w:rsidRPr="00AF3FA7">
              <w:rPr>
                <w:b/>
              </w:rPr>
              <w:t>Information</w:t>
            </w:r>
          </w:p>
        </w:tc>
        <w:tc>
          <w:tcPr>
            <w:tcW w:w="1103" w:type="dxa"/>
            <w:shd w:val="clear" w:color="auto" w:fill="BFBFBF" w:themeFill="background1" w:themeFillShade="BF"/>
          </w:tcPr>
          <w:p w:rsidR="00BE5973" w:rsidRPr="00AF3FA7" w:rsidRDefault="00BE5973" w:rsidP="00AB547C">
            <w:pPr>
              <w:jc w:val="center"/>
              <w:rPr>
                <w:b/>
              </w:rPr>
            </w:pPr>
            <w:r w:rsidRPr="00AF3FA7">
              <w:rPr>
                <w:b/>
              </w:rPr>
              <w:t>Units</w:t>
            </w:r>
          </w:p>
        </w:tc>
        <w:tc>
          <w:tcPr>
            <w:tcW w:w="2680" w:type="dxa"/>
            <w:shd w:val="clear" w:color="auto" w:fill="BFBFBF" w:themeFill="background1" w:themeFillShade="BF"/>
          </w:tcPr>
          <w:p w:rsidR="00BE5973" w:rsidRDefault="00BE5973" w:rsidP="00AB547C">
            <w:pPr>
              <w:jc w:val="center"/>
              <w:rPr>
                <w:b/>
              </w:rPr>
            </w:pPr>
            <w:r>
              <w:rPr>
                <w:b/>
              </w:rPr>
              <w:t>Example 1</w:t>
            </w:r>
          </w:p>
        </w:tc>
        <w:tc>
          <w:tcPr>
            <w:tcW w:w="5527" w:type="dxa"/>
            <w:shd w:val="clear" w:color="auto" w:fill="BFBFBF" w:themeFill="background1" w:themeFillShade="BF"/>
          </w:tcPr>
          <w:p w:rsidR="00BE5973" w:rsidRPr="00AF3FA7" w:rsidRDefault="00BE5973" w:rsidP="00AB547C">
            <w:pPr>
              <w:jc w:val="center"/>
              <w:rPr>
                <w:b/>
              </w:rPr>
            </w:pPr>
            <w:r>
              <w:rPr>
                <w:b/>
              </w:rPr>
              <w:t>Notes</w:t>
            </w:r>
          </w:p>
        </w:tc>
      </w:tr>
      <w:tr w:rsidR="00BE5973" w:rsidTr="00125176">
        <w:trPr>
          <w:trHeight w:val="1418"/>
        </w:trPr>
        <w:tc>
          <w:tcPr>
            <w:tcW w:w="1747" w:type="dxa"/>
          </w:tcPr>
          <w:p w:rsidR="00BE5973" w:rsidRDefault="00BE5973" w:rsidP="00AB547C">
            <w:r>
              <w:t>Basic laser information</w:t>
            </w:r>
          </w:p>
        </w:tc>
        <w:tc>
          <w:tcPr>
            <w:tcW w:w="1103" w:type="dxa"/>
          </w:tcPr>
          <w:p w:rsidR="00BE5973" w:rsidRDefault="00BE5973" w:rsidP="00AB547C">
            <w:r>
              <w:t>None</w:t>
            </w:r>
          </w:p>
        </w:tc>
        <w:tc>
          <w:tcPr>
            <w:tcW w:w="2680" w:type="dxa"/>
          </w:tcPr>
          <w:p w:rsidR="00BE5973" w:rsidRDefault="00BE5973" w:rsidP="00AB547C">
            <w:r>
              <w:t>Argon-ion laser 400 – 700 nm wavelength, continuous wave</w:t>
            </w:r>
          </w:p>
        </w:tc>
        <w:tc>
          <w:tcPr>
            <w:tcW w:w="5527" w:type="dxa"/>
          </w:tcPr>
          <w:p w:rsidR="00BE5973" w:rsidRDefault="00BE5973" w:rsidP="00AB547C">
            <w:r>
              <w:t>Find out as much information you can about the laser: type, wavelength and power output.</w:t>
            </w:r>
            <w:bookmarkStart w:id="0" w:name="_GoBack"/>
            <w:bookmarkEnd w:id="0"/>
          </w:p>
        </w:tc>
      </w:tr>
      <w:tr w:rsidR="00BE5973" w:rsidTr="00125176">
        <w:tc>
          <w:tcPr>
            <w:tcW w:w="1747" w:type="dxa"/>
          </w:tcPr>
          <w:p w:rsidR="00BE5973" w:rsidRDefault="00BE5973" w:rsidP="00AB547C">
            <w:r>
              <w:t>Laser output (radiant power)</w:t>
            </w:r>
          </w:p>
        </w:tc>
        <w:tc>
          <w:tcPr>
            <w:tcW w:w="1103" w:type="dxa"/>
          </w:tcPr>
          <w:p w:rsidR="00BE5973" w:rsidRDefault="00BE5973" w:rsidP="00AB547C">
            <w:r>
              <w:t>W (watts)</w:t>
            </w:r>
          </w:p>
        </w:tc>
        <w:tc>
          <w:tcPr>
            <w:tcW w:w="2680" w:type="dxa"/>
          </w:tcPr>
          <w:p w:rsidR="00BE5973" w:rsidRDefault="00BE5973" w:rsidP="00AB547C">
            <w:r>
              <w:t xml:space="preserve">100 </w:t>
            </w:r>
            <w:proofErr w:type="spellStart"/>
            <w:r>
              <w:t>mW</w:t>
            </w:r>
            <w:proofErr w:type="spellEnd"/>
            <w:r>
              <w:t xml:space="preserve"> (0.1 W)</w:t>
            </w:r>
          </w:p>
        </w:tc>
        <w:tc>
          <w:tcPr>
            <w:tcW w:w="5527" w:type="dxa"/>
          </w:tcPr>
          <w:p w:rsidR="00BE5973" w:rsidRDefault="00BE5973" w:rsidP="00AB547C">
            <w:r>
              <w:t>The output power from a continuous wave laser.</w:t>
            </w:r>
          </w:p>
        </w:tc>
      </w:tr>
      <w:tr w:rsidR="00BE5973" w:rsidTr="00125176">
        <w:tc>
          <w:tcPr>
            <w:tcW w:w="1747" w:type="dxa"/>
          </w:tcPr>
          <w:p w:rsidR="00BE5973" w:rsidRDefault="00BE5973" w:rsidP="00AB547C">
            <w:r>
              <w:t>Initial beam diameter</w:t>
            </w:r>
          </w:p>
        </w:tc>
        <w:tc>
          <w:tcPr>
            <w:tcW w:w="1103" w:type="dxa"/>
          </w:tcPr>
          <w:p w:rsidR="00BE5973" w:rsidRDefault="00BE5973" w:rsidP="00AB547C">
            <w:r>
              <w:t xml:space="preserve">m (meters) </w:t>
            </w:r>
          </w:p>
          <w:p w:rsidR="00BE5973" w:rsidRDefault="00BE5973" w:rsidP="00AB547C"/>
          <w:p w:rsidR="00BE5973" w:rsidRDefault="00BE5973" w:rsidP="00AB547C"/>
        </w:tc>
        <w:tc>
          <w:tcPr>
            <w:tcW w:w="2680" w:type="dxa"/>
          </w:tcPr>
          <w:p w:rsidR="00BE5973" w:rsidRDefault="00BE5973" w:rsidP="00AB547C">
            <w:r>
              <w:t>The beam diameter is 1mm (0.001m)</w:t>
            </w:r>
          </w:p>
        </w:tc>
        <w:tc>
          <w:tcPr>
            <w:tcW w:w="5527" w:type="dxa"/>
          </w:tcPr>
          <w:p w:rsidR="00BE5973" w:rsidRDefault="00BE5973" w:rsidP="00AB547C">
            <w:r>
              <w:t xml:space="preserve">Beam area is circular and is the diameter leaving the laser. It might be provided by the manufacturer and does not take into account the </w:t>
            </w:r>
            <w:proofErr w:type="spellStart"/>
            <w:r>
              <w:t>affect</w:t>
            </w:r>
            <w:proofErr w:type="spellEnd"/>
            <w:r>
              <w:t xml:space="preserve"> of optics on the beam.</w:t>
            </w:r>
          </w:p>
        </w:tc>
      </w:tr>
      <w:tr w:rsidR="00BE5973" w:rsidTr="00125176">
        <w:tc>
          <w:tcPr>
            <w:tcW w:w="1747" w:type="dxa"/>
          </w:tcPr>
          <w:p w:rsidR="00BE5973" w:rsidRDefault="00BE5973" w:rsidP="00AB547C">
            <w:r>
              <w:t>Beam divergence</w:t>
            </w:r>
          </w:p>
        </w:tc>
        <w:tc>
          <w:tcPr>
            <w:tcW w:w="1103" w:type="dxa"/>
          </w:tcPr>
          <w:p w:rsidR="00BE5973" w:rsidRDefault="00BE5973" w:rsidP="00AB547C">
            <w:r>
              <w:t xml:space="preserve"> radians</w:t>
            </w:r>
          </w:p>
        </w:tc>
        <w:tc>
          <w:tcPr>
            <w:tcW w:w="2680" w:type="dxa"/>
          </w:tcPr>
          <w:p w:rsidR="00BE5973" w:rsidRDefault="00BE5973" w:rsidP="00AB547C">
            <w:r>
              <w:t xml:space="preserve">3 </w:t>
            </w:r>
            <w:proofErr w:type="spellStart"/>
            <w:r>
              <w:t>millradians</w:t>
            </w:r>
            <w:proofErr w:type="spellEnd"/>
            <w:r>
              <w:t xml:space="preserve"> (0.003 radians). </w:t>
            </w:r>
          </w:p>
          <w:p w:rsidR="00BE5973" w:rsidRDefault="00BE5973" w:rsidP="00AB547C"/>
          <w:p w:rsidR="00BE5973" w:rsidRDefault="00BE5973" w:rsidP="00AB547C"/>
        </w:tc>
        <w:tc>
          <w:tcPr>
            <w:tcW w:w="5527" w:type="dxa"/>
          </w:tcPr>
          <w:p w:rsidR="00BE5973" w:rsidRDefault="00BE5973" w:rsidP="00AB547C">
            <w:r>
              <w:t>How much the beam spreads once it is away from the laser</w:t>
            </w:r>
          </w:p>
        </w:tc>
      </w:tr>
    </w:tbl>
    <w:p w:rsidR="00C57403" w:rsidRDefault="00C57403" w:rsidP="00FD0912">
      <w:pPr>
        <w:sectPr w:rsidR="00C57403" w:rsidSect="00C57403">
          <w:headerReference w:type="even" r:id="rId10"/>
          <w:headerReference w:type="default" r:id="rId11"/>
          <w:footerReference w:type="default" r:id="rId12"/>
          <w:pgSz w:w="11906" w:h="16838"/>
          <w:pgMar w:top="1588" w:right="454" w:bottom="340" w:left="454" w:header="709" w:footer="0" w:gutter="0"/>
          <w:cols w:space="708"/>
          <w:docGrid w:linePitch="360"/>
        </w:sectPr>
      </w:pPr>
    </w:p>
    <w:tbl>
      <w:tblPr>
        <w:tblStyle w:val="TableGrid"/>
        <w:tblW w:w="5000" w:type="pct"/>
        <w:tblLook w:val="04A0" w:firstRow="1" w:lastRow="0" w:firstColumn="1" w:lastColumn="0" w:noHBand="0" w:noVBand="1"/>
      </w:tblPr>
      <w:tblGrid>
        <w:gridCol w:w="2266"/>
        <w:gridCol w:w="2442"/>
        <w:gridCol w:w="2268"/>
        <w:gridCol w:w="2266"/>
      </w:tblGrid>
      <w:tr w:rsidR="00BE5973" w:rsidTr="0015165E">
        <w:tc>
          <w:tcPr>
            <w:tcW w:w="1226" w:type="pct"/>
          </w:tcPr>
          <w:p w:rsidR="00BE5973" w:rsidRDefault="00BE5973" w:rsidP="0015165E">
            <w:r>
              <w:lastRenderedPageBreak/>
              <w:t>MPE (continuous wave)</w:t>
            </w:r>
          </w:p>
        </w:tc>
        <w:tc>
          <w:tcPr>
            <w:tcW w:w="1321" w:type="pct"/>
          </w:tcPr>
          <w:p w:rsidR="00BE5973" w:rsidRPr="00342F53" w:rsidRDefault="00BE5973" w:rsidP="0015165E">
            <w:r>
              <w:t>W m</w:t>
            </w:r>
            <w:r>
              <w:rPr>
                <w:vertAlign w:val="superscript"/>
              </w:rPr>
              <w:t xml:space="preserve">-2 </w:t>
            </w:r>
            <w:r>
              <w:t>(watts per square meter)</w:t>
            </w:r>
          </w:p>
        </w:tc>
        <w:tc>
          <w:tcPr>
            <w:tcW w:w="1227" w:type="pct"/>
          </w:tcPr>
          <w:p w:rsidR="00BE5973" w:rsidRPr="00342F53" w:rsidRDefault="00BE5973" w:rsidP="0015165E">
            <w:pPr>
              <w:rPr>
                <w:b/>
              </w:rPr>
            </w:pPr>
            <w:proofErr w:type="gramStart"/>
            <w:r>
              <w:t>25 W m</w:t>
            </w:r>
            <w:r>
              <w:rPr>
                <w:vertAlign w:val="superscript"/>
              </w:rPr>
              <w:t>-2</w:t>
            </w:r>
            <w:proofErr w:type="gramEnd"/>
            <w:r>
              <w:rPr>
                <w:vertAlign w:val="superscript"/>
              </w:rPr>
              <w:t xml:space="preserve"> </w:t>
            </w:r>
            <w:r>
              <w:t>is the eye MPE for a single accidental exposure to a CW laser beam from 400 to 700nm.</w:t>
            </w:r>
          </w:p>
        </w:tc>
        <w:tc>
          <w:tcPr>
            <w:tcW w:w="1226" w:type="pct"/>
          </w:tcPr>
          <w:p w:rsidR="00BE5973" w:rsidRDefault="00BE5973" w:rsidP="0015165E">
            <w:r>
              <w:t>The MPE is the maximum permissible exposure for a continuous wave laser. You can find this out from UNIRPA</w:t>
            </w:r>
          </w:p>
        </w:tc>
      </w:tr>
      <w:tr w:rsidR="00BE5973" w:rsidTr="0015165E">
        <w:trPr>
          <w:trHeight w:val="1346"/>
        </w:trPr>
        <w:tc>
          <w:tcPr>
            <w:tcW w:w="5000" w:type="pct"/>
            <w:gridSpan w:val="4"/>
          </w:tcPr>
          <w:p w:rsidR="00BE5973" w:rsidRDefault="00BE5973" w:rsidP="0015165E">
            <w:pPr>
              <w:rPr>
                <w:rFonts w:eastAsia="Calibri" w:cs="Times New Roman"/>
              </w:rPr>
            </w:pPr>
            <w:r>
              <w:rPr>
                <w:rFonts w:eastAsia="Calibri" w:cs="Times New Roman"/>
              </w:rPr>
              <w:t>Equation 1</w:t>
            </w:r>
          </w:p>
          <w:p w:rsidR="00BE5973" w:rsidRPr="00DF3BA9" w:rsidRDefault="00BE5973" w:rsidP="0015165E">
            <w:pPr>
              <w:rPr>
                <w:rFonts w:eastAsia="Calibri" w:cs="Times New Roman"/>
              </w:rPr>
            </w:pPr>
          </w:p>
          <w:p w:rsidR="00BE5973" w:rsidRDefault="00BE5973" w:rsidP="0015165E">
            <w:pPr>
              <w:rPr>
                <w:rFonts w:eastAsiaTheme="minorEastAsia"/>
              </w:rPr>
            </w:pPr>
            <m:oMathPara>
              <m:oMath>
                <m:r>
                  <m:rPr>
                    <m:nor/>
                  </m:rPr>
                  <w:rPr>
                    <w:rFonts w:ascii="Cambria Math" w:hAnsi="Cambria Math"/>
                  </w:rPr>
                  <m:t>NOHD</m:t>
                </m:r>
                <m:r>
                  <w:rPr>
                    <w:rFonts w:ascii="Cambria Math" w:hAnsi="Cambria Math"/>
                  </w:rPr>
                  <m:t>=</m:t>
                </m:r>
                <m:f>
                  <m:fPr>
                    <m:ctrlPr>
                      <w:rPr>
                        <w:rFonts w:ascii="Cambria Math" w:hAnsi="Cambria Math"/>
                        <w:i/>
                      </w:rPr>
                    </m:ctrlPr>
                  </m:fPr>
                  <m:num>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 xml:space="preserve">4 </m:t>
                            </m:r>
                            <m:r>
                              <m:rPr>
                                <m:nor/>
                              </m:rPr>
                              <w:rPr>
                                <w:rFonts w:ascii="Cambria Math" w:eastAsiaTheme="minorEastAsia" w:hAnsi="Cambria Math"/>
                              </w:rPr>
                              <m:t>×radiant power</m:t>
                            </m:r>
                            <m:ctrlPr>
                              <w:rPr>
                                <w:rFonts w:ascii="Cambria Math" w:eastAsiaTheme="minorEastAsia" w:hAnsi="Cambria Math"/>
                              </w:rPr>
                            </m:ctrlPr>
                          </m:num>
                          <m:den>
                            <m:r>
                              <w:rPr>
                                <w:rFonts w:ascii="Cambria Math" w:eastAsiaTheme="minorEastAsia" w:hAnsi="Cambria Math"/>
                              </w:rPr>
                              <m:t xml:space="preserve">π </m:t>
                            </m:r>
                            <m:r>
                              <m:rPr>
                                <m:nor/>
                              </m:rPr>
                              <w:rPr>
                                <w:rFonts w:ascii="Cambria Math" w:eastAsiaTheme="minorEastAsia" w:hAnsi="Cambria Math"/>
                              </w:rPr>
                              <m:t>×MPE</m:t>
                            </m:r>
                            <m:ctrlPr>
                              <w:rPr>
                                <w:rFonts w:ascii="Cambria Math" w:eastAsiaTheme="minorEastAsia" w:hAnsi="Cambria Math"/>
                              </w:rPr>
                            </m:ctrlPr>
                          </m:den>
                        </m:f>
                      </m:e>
                    </m:rad>
                    <m:r>
                      <w:rPr>
                        <w:rFonts w:ascii="Cambria Math" w:hAnsi="Cambria Math"/>
                      </w:rPr>
                      <m:t xml:space="preserve">- </m:t>
                    </m:r>
                    <m:r>
                      <m:rPr>
                        <m:nor/>
                      </m:rPr>
                      <w:rPr>
                        <w:rFonts w:ascii="Cambria Math" w:hAnsi="Cambria Math"/>
                      </w:rPr>
                      <m:t>initial beam diameter</m:t>
                    </m:r>
                  </m:num>
                  <m:den>
                    <m:r>
                      <m:rPr>
                        <m:nor/>
                      </m:rPr>
                      <w:rPr>
                        <w:rFonts w:ascii="Cambria Math" w:hAnsi="Cambria Math"/>
                      </w:rPr>
                      <m:t>beam divergence</m:t>
                    </m:r>
                  </m:den>
                </m:f>
              </m:oMath>
            </m:oMathPara>
          </w:p>
          <w:p w:rsidR="00BE5973" w:rsidRDefault="00BE5973" w:rsidP="0015165E">
            <w:pPr>
              <w:rPr>
                <w:rFonts w:eastAsia="Calibri" w:cs="Times New Roman"/>
              </w:rPr>
            </w:pPr>
          </w:p>
        </w:tc>
      </w:tr>
      <w:tr w:rsidR="00BE5973" w:rsidTr="0015165E">
        <w:trPr>
          <w:trHeight w:val="2808"/>
        </w:trPr>
        <w:tc>
          <w:tcPr>
            <w:tcW w:w="2547" w:type="pct"/>
            <w:gridSpan w:val="2"/>
            <w:tcBorders>
              <w:left w:val="single" w:sz="4" w:space="0" w:color="auto"/>
            </w:tcBorders>
          </w:tcPr>
          <w:p w:rsidR="00BE5973" w:rsidRDefault="00BE5973" w:rsidP="0015165E">
            <w:pPr>
              <w:rPr>
                <w:rFonts w:eastAsia="Calibri" w:cs="Times New Roman"/>
              </w:rPr>
            </w:pPr>
            <w:r>
              <w:rPr>
                <w:rFonts w:eastAsia="Calibri" w:cs="Times New Roman"/>
              </w:rPr>
              <w:t>Example 1</w:t>
            </w:r>
          </w:p>
          <w:p w:rsidR="00BE5973" w:rsidRDefault="00BE5973" w:rsidP="0015165E">
            <w:pPr>
              <w:rPr>
                <w:rFonts w:eastAsia="Calibri" w:cs="Times New Roman"/>
              </w:rPr>
            </w:pPr>
            <w:r>
              <w:rPr>
                <w:rFonts w:ascii="Cambria Math" w:hAnsi="Cambria Math"/>
              </w:rPr>
              <w:br/>
            </w:r>
            <m:oMathPara>
              <m:oMath>
                <m:r>
                  <m:rPr>
                    <m:nor/>
                  </m:rPr>
                  <w:rPr>
                    <w:rFonts w:ascii="Cambria Math" w:hAnsi="Cambria Math"/>
                  </w:rPr>
                  <m:t>23.5 m</m:t>
                </m:r>
                <m:r>
                  <w:rPr>
                    <w:rFonts w:ascii="Cambria Math" w:hAnsi="Cambria Math"/>
                  </w:rPr>
                  <m:t>=</m:t>
                </m:r>
                <m:f>
                  <m:fPr>
                    <m:ctrlPr>
                      <w:rPr>
                        <w:rFonts w:ascii="Cambria Math" w:hAnsi="Cambria Math"/>
                        <w:i/>
                      </w:rPr>
                    </m:ctrlPr>
                  </m:fPr>
                  <m:num>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 xml:space="preserve">4 </m:t>
                            </m:r>
                            <m:r>
                              <m:rPr>
                                <m:nor/>
                              </m:rPr>
                              <w:rPr>
                                <w:rFonts w:ascii="Cambria Math" w:eastAsiaTheme="minorEastAsia" w:hAnsi="Cambria Math"/>
                              </w:rPr>
                              <m:t>×0.1W</m:t>
                            </m:r>
                            <m:ctrlPr>
                              <w:rPr>
                                <w:rFonts w:ascii="Cambria Math" w:eastAsiaTheme="minorEastAsia" w:hAnsi="Cambria Math"/>
                              </w:rPr>
                            </m:ctrlPr>
                          </m:num>
                          <m:den>
                            <m:r>
                              <w:rPr>
                                <w:rFonts w:ascii="Cambria Math" w:eastAsiaTheme="minorEastAsia" w:hAnsi="Cambria Math"/>
                              </w:rPr>
                              <m:t xml:space="preserve">π </m:t>
                            </m:r>
                            <m:r>
                              <m:rPr>
                                <m:nor/>
                              </m:rPr>
                              <w:rPr>
                                <w:rFonts w:ascii="Cambria Math" w:eastAsiaTheme="minorEastAsia" w:hAnsi="Cambria Math"/>
                              </w:rPr>
                              <m:t>×25 W</m:t>
                            </m:r>
                            <m:r>
                              <m:rPr>
                                <m:nor/>
                              </m:rPr>
                              <m:t>m</m:t>
                            </m:r>
                            <m:r>
                              <m:rPr>
                                <m:nor/>
                              </m:rPr>
                              <w:rPr>
                                <w:vertAlign w:val="superscript"/>
                              </w:rPr>
                              <m:t>-2</m:t>
                            </m:r>
                            <m:ctrlPr>
                              <w:rPr>
                                <w:rFonts w:ascii="Cambria Math" w:eastAsiaTheme="minorEastAsia" w:hAnsi="Cambria Math"/>
                              </w:rPr>
                            </m:ctrlPr>
                          </m:den>
                        </m:f>
                      </m:e>
                    </m:rad>
                    <m:r>
                      <w:rPr>
                        <w:rFonts w:ascii="Cambria Math" w:hAnsi="Cambria Math"/>
                      </w:rPr>
                      <m:t xml:space="preserve">- </m:t>
                    </m:r>
                    <m:r>
                      <m:rPr>
                        <m:nor/>
                      </m:rPr>
                      <w:rPr>
                        <w:rFonts w:ascii="Cambria Math" w:hAnsi="Cambria Math"/>
                      </w:rPr>
                      <m:t>0.001m</m:t>
                    </m:r>
                  </m:num>
                  <m:den>
                    <m:r>
                      <m:rPr>
                        <m:nor/>
                      </m:rPr>
                      <w:rPr>
                        <w:rFonts w:ascii="Cambria Math" w:hAnsi="Cambria Math"/>
                      </w:rPr>
                      <m:t>0.003 radians</m:t>
                    </m:r>
                  </m:den>
                </m:f>
              </m:oMath>
            </m:oMathPara>
          </w:p>
        </w:tc>
        <w:tc>
          <w:tcPr>
            <w:tcW w:w="2453" w:type="pct"/>
            <w:gridSpan w:val="2"/>
          </w:tcPr>
          <w:p w:rsidR="00BE5973" w:rsidRDefault="00BE5973" w:rsidP="0015165E">
            <w:pPr>
              <w:rPr>
                <w:rFonts w:eastAsia="Calibri" w:cs="Times New Roman"/>
              </w:rPr>
            </w:pPr>
            <w:r>
              <w:rPr>
                <w:rFonts w:eastAsia="Calibri" w:cs="Times New Roman"/>
              </w:rPr>
              <w:t>Example 2</w:t>
            </w:r>
          </w:p>
          <w:p w:rsidR="00BE5973" w:rsidRDefault="00BE5973" w:rsidP="0015165E">
            <w:pPr>
              <w:rPr>
                <w:rFonts w:eastAsia="Calibri" w:cs="Times New Roman"/>
              </w:rPr>
            </w:pPr>
          </w:p>
          <w:p w:rsidR="00BE5973" w:rsidRDefault="00BE5973" w:rsidP="0015165E">
            <w:pPr>
              <w:rPr>
                <w:rFonts w:eastAsia="Calibri" w:cs="Times New Roman"/>
              </w:rPr>
            </w:pPr>
            <w:r>
              <w:rPr>
                <w:rFonts w:eastAsia="Calibri" w:cs="Times New Roman"/>
              </w:rPr>
              <w:t>Radiant power = 0.004W</w:t>
            </w:r>
          </w:p>
          <w:p w:rsidR="00BE5973" w:rsidRDefault="00BE5973" w:rsidP="0015165E">
            <w:pPr>
              <w:rPr>
                <w:rFonts w:eastAsia="Calibri" w:cs="Times New Roman"/>
              </w:rPr>
            </w:pPr>
            <w:r>
              <w:rPr>
                <w:rFonts w:eastAsia="Calibri" w:cs="Times New Roman"/>
              </w:rPr>
              <w:t>Aperture diameter = 0.003m</w:t>
            </w:r>
          </w:p>
          <w:p w:rsidR="00BE5973" w:rsidRDefault="00BE5973" w:rsidP="0015165E">
            <w:pPr>
              <w:rPr>
                <w:rFonts w:eastAsia="Calibri" w:cs="Times New Roman"/>
              </w:rPr>
            </w:pPr>
            <w:r>
              <w:rPr>
                <w:rFonts w:eastAsia="Calibri" w:cs="Times New Roman"/>
              </w:rPr>
              <w:t>Divergence = 0.002 radians</w:t>
            </w:r>
          </w:p>
          <w:p w:rsidR="00BE5973" w:rsidRDefault="00BE5973" w:rsidP="0015165E">
            <w:pPr>
              <w:rPr>
                <w:rFonts w:eastAsia="Calibri" w:cs="Times New Roman"/>
                <w:vertAlign w:val="superscript"/>
              </w:rPr>
            </w:pPr>
            <w:r>
              <w:rPr>
                <w:rFonts w:eastAsia="Calibri" w:cs="Times New Roman"/>
              </w:rPr>
              <w:t>MPE for this laser = 25.4 Wm</w:t>
            </w:r>
            <w:r>
              <w:rPr>
                <w:rFonts w:eastAsia="Calibri" w:cs="Times New Roman"/>
                <w:vertAlign w:val="superscript"/>
              </w:rPr>
              <w:t>-2</w:t>
            </w:r>
          </w:p>
          <w:p w:rsidR="00BE5973" w:rsidRDefault="00BE5973" w:rsidP="0015165E">
            <w:pPr>
              <w:rPr>
                <w:rFonts w:eastAsia="Calibri" w:cs="Times New Roman"/>
              </w:rPr>
            </w:pPr>
          </w:p>
          <w:p w:rsidR="00BE5973" w:rsidRDefault="00BE5973" w:rsidP="0015165E">
            <w:pPr>
              <w:rPr>
                <w:rFonts w:eastAsiaTheme="minorEastAsia"/>
              </w:rPr>
            </w:pPr>
            <m:oMathPara>
              <m:oMath>
                <m:r>
                  <m:rPr>
                    <m:nor/>
                  </m:rPr>
                  <w:rPr>
                    <w:rFonts w:ascii="Cambria Math" w:hAnsi="Cambria Math"/>
                  </w:rPr>
                  <m:t>5.58 m</m:t>
                </m:r>
                <m:r>
                  <w:rPr>
                    <w:rFonts w:ascii="Cambria Math" w:hAnsi="Cambria Math"/>
                  </w:rPr>
                  <m:t>=</m:t>
                </m:r>
                <m:f>
                  <m:fPr>
                    <m:ctrlPr>
                      <w:rPr>
                        <w:rFonts w:ascii="Cambria Math" w:hAnsi="Cambria Math"/>
                        <w:i/>
                      </w:rPr>
                    </m:ctrlPr>
                  </m:fPr>
                  <m:num>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 xml:space="preserve">4 </m:t>
                            </m:r>
                            <m:r>
                              <m:rPr>
                                <m:nor/>
                              </m:rPr>
                              <w:rPr>
                                <w:rFonts w:ascii="Cambria Math" w:eastAsiaTheme="minorEastAsia" w:hAnsi="Cambria Math"/>
                              </w:rPr>
                              <m:t>×0.004W</m:t>
                            </m:r>
                            <m:ctrlPr>
                              <w:rPr>
                                <w:rFonts w:ascii="Cambria Math" w:eastAsiaTheme="minorEastAsia" w:hAnsi="Cambria Math"/>
                              </w:rPr>
                            </m:ctrlPr>
                          </m:num>
                          <m:den>
                            <m:r>
                              <w:rPr>
                                <w:rFonts w:ascii="Cambria Math" w:eastAsiaTheme="minorEastAsia" w:hAnsi="Cambria Math"/>
                              </w:rPr>
                              <m:t xml:space="preserve">π </m:t>
                            </m:r>
                            <m:r>
                              <m:rPr>
                                <m:nor/>
                              </m:rPr>
                              <w:rPr>
                                <w:rFonts w:ascii="Cambria Math" w:eastAsiaTheme="minorEastAsia" w:hAnsi="Cambria Math"/>
                              </w:rPr>
                              <m:t>×25.4 W</m:t>
                            </m:r>
                            <m:r>
                              <m:rPr>
                                <m:nor/>
                              </m:rPr>
                              <m:t>m</m:t>
                            </m:r>
                            <m:r>
                              <m:rPr>
                                <m:nor/>
                              </m:rPr>
                              <w:rPr>
                                <w:vertAlign w:val="superscript"/>
                              </w:rPr>
                              <m:t>-2</m:t>
                            </m:r>
                            <m:ctrlPr>
                              <w:rPr>
                                <w:rFonts w:ascii="Cambria Math" w:eastAsiaTheme="minorEastAsia" w:hAnsi="Cambria Math"/>
                              </w:rPr>
                            </m:ctrlPr>
                          </m:den>
                        </m:f>
                      </m:e>
                    </m:rad>
                    <m:r>
                      <w:rPr>
                        <w:rFonts w:ascii="Cambria Math" w:hAnsi="Cambria Math"/>
                      </w:rPr>
                      <m:t xml:space="preserve">- </m:t>
                    </m:r>
                    <m:r>
                      <m:rPr>
                        <m:nor/>
                      </m:rPr>
                      <w:rPr>
                        <w:rFonts w:ascii="Cambria Math" w:hAnsi="Cambria Math"/>
                      </w:rPr>
                      <m:t>0.003m</m:t>
                    </m:r>
                  </m:num>
                  <m:den>
                    <m:r>
                      <m:rPr>
                        <m:nor/>
                      </m:rPr>
                      <w:rPr>
                        <w:rFonts w:ascii="Cambria Math" w:hAnsi="Cambria Math"/>
                      </w:rPr>
                      <m:t>0.002 radians</m:t>
                    </m:r>
                  </m:den>
                </m:f>
              </m:oMath>
            </m:oMathPara>
          </w:p>
          <w:p w:rsidR="00BE5973" w:rsidRDefault="00BE5973" w:rsidP="0015165E">
            <w:pPr>
              <w:rPr>
                <w:rFonts w:eastAsia="Calibri" w:cs="Times New Roman"/>
              </w:rPr>
            </w:pPr>
          </w:p>
        </w:tc>
      </w:tr>
    </w:tbl>
    <w:p w:rsidR="00BE5973" w:rsidRPr="00BE3F5B" w:rsidRDefault="00BE5973" w:rsidP="00BE5973">
      <w:r>
        <w:t xml:space="preserve">Source: HPA Laser Safety Refresher: </w:t>
      </w:r>
      <w:r w:rsidRPr="00BE3F5B">
        <w:t>Laser Safety Training 2012, section 5 Revision of MPE Calculations.</w:t>
      </w:r>
    </w:p>
    <w:p w:rsidR="00CD2BEE" w:rsidRPr="00592E96" w:rsidRDefault="00CD2BEE" w:rsidP="00C57403"/>
    <w:sectPr w:rsidR="00CD2BEE" w:rsidRPr="00592E96" w:rsidSect="0010750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03" w:rsidRDefault="00C57403" w:rsidP="00FD0912">
      <w:r>
        <w:separator/>
      </w:r>
    </w:p>
  </w:endnote>
  <w:endnote w:type="continuationSeparator" w:id="0">
    <w:p w:rsidR="00C57403" w:rsidRDefault="00C57403" w:rsidP="00F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03" w:rsidRDefault="00413683">
    <w:pPr>
      <w:pStyle w:val="Footer"/>
    </w:pPr>
    <w:r>
      <w:t>Calculating_NOHD_V3_last updated June 2014</w:t>
    </w:r>
  </w:p>
  <w:p w:rsidR="00CD2BEE" w:rsidRDefault="00CD2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125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BE5973">
    <w:pPr>
      <w:pStyle w:val="Footer"/>
    </w:pPr>
    <w:r>
      <w:t>Calculating_NOHD_V2_last updated June 2014</w:t>
    </w:r>
    <w:r>
      <w:ptab w:relativeTo="margin" w:alignment="right" w:leader="none"/>
    </w:r>
    <w:r>
      <w:fldChar w:fldCharType="begin"/>
    </w:r>
    <w:r>
      <w:instrText xml:space="preserve"> PAGE   \* MERGEFORMAT </w:instrText>
    </w:r>
    <w:r>
      <w:fldChar w:fldCharType="separate"/>
    </w:r>
    <w:r w:rsidR="00125176">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125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03" w:rsidRDefault="00C57403" w:rsidP="00FD0912">
      <w:r>
        <w:separator/>
      </w:r>
    </w:p>
  </w:footnote>
  <w:footnote w:type="continuationSeparator" w:id="0">
    <w:p w:rsidR="00C57403" w:rsidRDefault="00C57403" w:rsidP="00FD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24" w:rsidRDefault="00642E1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12" w:rsidRDefault="00CD2BEE">
    <w:pPr>
      <w:pStyle w:val="Header"/>
    </w:pPr>
    <w:r>
      <w:rPr>
        <w:noProof/>
        <w:lang w:eastAsia="en-GB"/>
      </w:rPr>
      <w:drawing>
        <wp:anchor distT="0" distB="0" distL="114300" distR="114300" simplePos="0" relativeHeight="251657216" behindDoc="1" locked="0" layoutInCell="1" allowOverlap="1" wp14:anchorId="20619CBB" wp14:editId="5BC6888D">
          <wp:simplePos x="0" y="0"/>
          <wp:positionH relativeFrom="page">
            <wp:posOffset>291149</wp:posOffset>
          </wp:positionH>
          <wp:positionV relativeFrom="page">
            <wp:posOffset>288290</wp:posOffset>
          </wp:positionV>
          <wp:extent cx="6993496" cy="10122794"/>
          <wp:effectExtent l="0" t="0" r="0" b="0"/>
          <wp:wrapNone/>
          <wp:docPr id="4" name="Picture 4" descr="A4 portrait 20mm logo with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20mm logo with border.jpg"/>
                  <pic:cNvPicPr/>
                </pic:nvPicPr>
                <pic:blipFill>
                  <a:blip r:embed="rId1"/>
                  <a:stretch>
                    <a:fillRect/>
                  </a:stretch>
                </pic:blipFill>
                <pic:spPr>
                  <a:xfrm>
                    <a:off x="0" y="0"/>
                    <a:ext cx="6993496" cy="1012279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1251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1251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C5" w:rsidRDefault="00125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F9B"/>
    <w:multiLevelType w:val="hybridMultilevel"/>
    <w:tmpl w:val="F5E60E24"/>
    <w:lvl w:ilvl="0" w:tplc="A3CC56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2">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F77D9C"/>
    <w:multiLevelType w:val="hybridMultilevel"/>
    <w:tmpl w:val="1D5CB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63139A8"/>
    <w:multiLevelType w:val="hybridMultilevel"/>
    <w:tmpl w:val="479A3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nsid w:val="59B6619B"/>
    <w:multiLevelType w:val="hybridMultilevel"/>
    <w:tmpl w:val="83BEA8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1">
    <w:nsid w:val="6EF50265"/>
    <w:multiLevelType w:val="hybridMultilevel"/>
    <w:tmpl w:val="DC008BE0"/>
    <w:lvl w:ilvl="0" w:tplc="3650139C">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9"/>
  </w:num>
  <w:num w:numId="4">
    <w:abstractNumId w:val="1"/>
  </w:num>
  <w:num w:numId="5">
    <w:abstractNumId w:val="7"/>
  </w:num>
  <w:num w:numId="6">
    <w:abstractNumId w:val="10"/>
  </w:num>
  <w:num w:numId="7">
    <w:abstractNumId w:val="1"/>
  </w:num>
  <w:num w:numId="8">
    <w:abstractNumId w:val="7"/>
  </w:num>
  <w:num w:numId="9">
    <w:abstractNumId w:val="10"/>
  </w:num>
  <w:num w:numId="10">
    <w:abstractNumId w:val="1"/>
  </w:num>
  <w:num w:numId="11">
    <w:abstractNumId w:val="7"/>
  </w:num>
  <w:num w:numId="12">
    <w:abstractNumId w:val="10"/>
  </w:num>
  <w:num w:numId="13">
    <w:abstractNumId w:val="1"/>
  </w:num>
  <w:num w:numId="14">
    <w:abstractNumId w:val="7"/>
  </w:num>
  <w:num w:numId="15">
    <w:abstractNumId w:val="10"/>
  </w:num>
  <w:num w:numId="16">
    <w:abstractNumId w:val="1"/>
  </w:num>
  <w:num w:numId="17">
    <w:abstractNumId w:val="7"/>
  </w:num>
  <w:num w:numId="18">
    <w:abstractNumId w:val="10"/>
  </w:num>
  <w:num w:numId="19">
    <w:abstractNumId w:val="7"/>
  </w:num>
  <w:num w:numId="20">
    <w:abstractNumId w:val="10"/>
  </w:num>
  <w:num w:numId="21">
    <w:abstractNumId w:val="7"/>
  </w:num>
  <w:num w:numId="22">
    <w:abstractNumId w:val="10"/>
  </w:num>
  <w:num w:numId="23">
    <w:abstractNumId w:val="7"/>
  </w:num>
  <w:num w:numId="24">
    <w:abstractNumId w:val="10"/>
  </w:num>
  <w:num w:numId="25">
    <w:abstractNumId w:val="2"/>
  </w:num>
  <w:num w:numId="26">
    <w:abstractNumId w:val="11"/>
  </w:num>
  <w:num w:numId="27">
    <w:abstractNumId w:val="8"/>
  </w:num>
  <w:num w:numId="28">
    <w:abstractNumId w:val="0"/>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03"/>
    <w:rsid w:val="00004134"/>
    <w:rsid w:val="000E185E"/>
    <w:rsid w:val="001240D6"/>
    <w:rsid w:val="00125176"/>
    <w:rsid w:val="00167D68"/>
    <w:rsid w:val="00246CB0"/>
    <w:rsid w:val="00260470"/>
    <w:rsid w:val="002A3EC6"/>
    <w:rsid w:val="003C0904"/>
    <w:rsid w:val="00413683"/>
    <w:rsid w:val="004215D6"/>
    <w:rsid w:val="00457D9A"/>
    <w:rsid w:val="00473BC2"/>
    <w:rsid w:val="00482F24"/>
    <w:rsid w:val="004F30D1"/>
    <w:rsid w:val="00512D09"/>
    <w:rsid w:val="00567C4B"/>
    <w:rsid w:val="00592E96"/>
    <w:rsid w:val="005C3C42"/>
    <w:rsid w:val="0062240F"/>
    <w:rsid w:val="006414BE"/>
    <w:rsid w:val="00642AF0"/>
    <w:rsid w:val="00642E1B"/>
    <w:rsid w:val="006523B3"/>
    <w:rsid w:val="00660A5A"/>
    <w:rsid w:val="006743F7"/>
    <w:rsid w:val="006876C1"/>
    <w:rsid w:val="0075155F"/>
    <w:rsid w:val="00770BF8"/>
    <w:rsid w:val="007717E0"/>
    <w:rsid w:val="007B3AB6"/>
    <w:rsid w:val="007E45A1"/>
    <w:rsid w:val="00823C3C"/>
    <w:rsid w:val="00857459"/>
    <w:rsid w:val="009F2CA6"/>
    <w:rsid w:val="00A07F9D"/>
    <w:rsid w:val="00A93FD4"/>
    <w:rsid w:val="00B37B71"/>
    <w:rsid w:val="00B76E18"/>
    <w:rsid w:val="00B96272"/>
    <w:rsid w:val="00BA6D7D"/>
    <w:rsid w:val="00BD5BD2"/>
    <w:rsid w:val="00BE5973"/>
    <w:rsid w:val="00BF151B"/>
    <w:rsid w:val="00C06DAB"/>
    <w:rsid w:val="00C07DB5"/>
    <w:rsid w:val="00C34331"/>
    <w:rsid w:val="00C57403"/>
    <w:rsid w:val="00C71416"/>
    <w:rsid w:val="00C75426"/>
    <w:rsid w:val="00CA2F10"/>
    <w:rsid w:val="00CD2BEE"/>
    <w:rsid w:val="00D50F09"/>
    <w:rsid w:val="00DF77B4"/>
    <w:rsid w:val="00E1398A"/>
    <w:rsid w:val="00E26BC1"/>
    <w:rsid w:val="00E9247A"/>
    <w:rsid w:val="00E9277A"/>
    <w:rsid w:val="00EB27BF"/>
    <w:rsid w:val="00EE6FB0"/>
    <w:rsid w:val="00EF5E18"/>
    <w:rsid w:val="00F31242"/>
    <w:rsid w:val="00FD0912"/>
    <w:rsid w:val="00FD20F4"/>
    <w:rsid w:val="00FD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03"/>
    <w:pPr>
      <w:spacing w:after="200" w:line="276" w:lineRule="auto"/>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link w:val="NoSpacingChar"/>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basedOn w:val="DefaultParagraphFont"/>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basedOn w:val="DefaultParagraphFont"/>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basedOn w:val="DefaultParagraphFont"/>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aliases w:val="Heading Char"/>
    <w:basedOn w:val="DefaultParagraphFont"/>
    <w:link w:val="NoSpacing"/>
    <w:rsid w:val="00C57403"/>
    <w:rPr>
      <w:rFonts w:ascii="Arial" w:eastAsiaTheme="majorEastAsia" w:hAnsi="Arial" w:cstheme="majorBidi"/>
      <w:b/>
      <w:bCs/>
      <w:iCs/>
      <w:sz w:val="24"/>
      <w:szCs w:val="28"/>
      <w:lang w:eastAsia="en-US"/>
    </w:rPr>
  </w:style>
  <w:style w:type="paragraph" w:customStyle="1" w:styleId="Default0">
    <w:name w:val="Default"/>
    <w:rsid w:val="00C57403"/>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semiHidden/>
    <w:unhideWhenUsed/>
    <w:rsid w:val="00413683"/>
    <w:rPr>
      <w:color w:val="FF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03"/>
    <w:pPr>
      <w:spacing w:after="200" w:line="276" w:lineRule="auto"/>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link w:val="NoSpacingChar"/>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basedOn w:val="DefaultParagraphFont"/>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basedOn w:val="DefaultParagraphFont"/>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basedOn w:val="DefaultParagraphFont"/>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aliases w:val="Heading Char"/>
    <w:basedOn w:val="DefaultParagraphFont"/>
    <w:link w:val="NoSpacing"/>
    <w:rsid w:val="00C57403"/>
    <w:rPr>
      <w:rFonts w:ascii="Arial" w:eastAsiaTheme="majorEastAsia" w:hAnsi="Arial" w:cstheme="majorBidi"/>
      <w:b/>
      <w:bCs/>
      <w:iCs/>
      <w:sz w:val="24"/>
      <w:szCs w:val="28"/>
      <w:lang w:eastAsia="en-US"/>
    </w:rPr>
  </w:style>
  <w:style w:type="paragraph" w:customStyle="1" w:styleId="Default0">
    <w:name w:val="Default"/>
    <w:rsid w:val="00C57403"/>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semiHidden/>
    <w:unhideWhenUsed/>
    <w:rsid w:val="00413683"/>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sex.ac.uk/ohsas/consultation/condocs/NIR_Standard/aurpogn7.pdf"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Administration\Procedures\UofE%20Branding\OHSAS%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4D4F-35CC-4A7F-AFE2-C1A293D9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OHSAS style template</Template>
  <TotalTime>4</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carrington</dc:creator>
  <cp:lastModifiedBy>joanna carrington</cp:lastModifiedBy>
  <cp:revision>5</cp:revision>
  <dcterms:created xsi:type="dcterms:W3CDTF">2014-07-01T08:12:00Z</dcterms:created>
  <dcterms:modified xsi:type="dcterms:W3CDTF">2014-07-09T13:44:00Z</dcterms:modified>
</cp:coreProperties>
</file>