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02C422A" w14:textId="111AC993" w:rsidR="00261342" w:rsidRPr="00261342" w:rsidRDefault="00261342" w:rsidP="007A39B5">
      <w:pPr>
        <w:tabs>
          <w:tab w:val="center" w:pos="5612"/>
          <w:tab w:val="left" w:pos="6125"/>
        </w:tabs>
        <w:spacing w:after="0"/>
        <w:rPr>
          <w:b/>
          <w:bCs/>
          <w:szCs w:val="28"/>
        </w:rPr>
      </w:pPr>
      <w:bookmarkStart w:id="0" w:name="_Toc69199349"/>
      <w:bookmarkStart w:id="1" w:name="_Toc68879980"/>
      <w:bookmarkStart w:id="2" w:name="_Toc68880115"/>
      <w:r>
        <w:rPr>
          <w:noProof/>
        </w:rPr>
        <w:drawing>
          <wp:inline distT="0" distB="0" distL="0" distR="0" wp14:anchorId="09706AC5" wp14:editId="4BB3BA09">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r w:rsidR="007A39B5">
        <w:rPr>
          <w:b/>
          <w:bCs/>
          <w:szCs w:val="28"/>
        </w:rPr>
        <w:tab/>
      </w:r>
      <w:r w:rsidR="007A39B5">
        <w:rPr>
          <w:b/>
          <w:bCs/>
          <w:szCs w:val="28"/>
        </w:rPr>
        <w:tab/>
      </w:r>
    </w:p>
    <w:p w14:paraId="4CF3271D" w14:textId="0A864DD6" w:rsidR="00261342" w:rsidRPr="007A39B5" w:rsidRDefault="006E2163" w:rsidP="00D84E4F">
      <w:pPr>
        <w:pStyle w:val="Title"/>
        <w:rPr>
          <w:color w:val="auto"/>
        </w:rPr>
      </w:pPr>
      <w:r w:rsidRPr="007A39B5">
        <w:rPr>
          <w:color w:val="auto"/>
        </w:rPr>
        <w:t>Developing year-round delivery</w:t>
      </w:r>
      <w:r w:rsidR="00521CF4" w:rsidRPr="007A39B5">
        <w:rPr>
          <w:color w:val="auto"/>
        </w:rPr>
        <w:tab/>
      </w:r>
    </w:p>
    <w:p w14:paraId="273065EB" w14:textId="7E5BD01D" w:rsidR="00261342" w:rsidRPr="007A39B5" w:rsidRDefault="006E2163" w:rsidP="00D84E4F">
      <w:pPr>
        <w:pStyle w:val="Subtitle"/>
        <w:rPr>
          <w:color w:val="auto"/>
          <w:sz w:val="36"/>
          <w:szCs w:val="18"/>
        </w:rPr>
      </w:pPr>
      <w:r w:rsidRPr="007A39B5">
        <w:rPr>
          <w:color w:val="auto"/>
          <w:sz w:val="36"/>
          <w:szCs w:val="18"/>
        </w:rPr>
        <w:t>Information for departments planning courses or modules with delivery dates outside standard University terms</w:t>
      </w:r>
    </w:p>
    <w:p w14:paraId="06C2AECF" w14:textId="11DA7FB3" w:rsidR="00AB21B1" w:rsidRPr="007A39B5" w:rsidRDefault="00261342" w:rsidP="007A39B5">
      <w:pPr>
        <w:pStyle w:val="NoSpacing"/>
        <w:pBdr>
          <w:bottom w:val="single" w:sz="48" w:space="0" w:color="FFFFFF" w:themeColor="background1"/>
        </w:pBdr>
        <w:rPr>
          <w:color w:val="auto"/>
        </w:rPr>
      </w:pPr>
      <w:r w:rsidRPr="007A39B5">
        <w:rPr>
          <w:color w:val="auto"/>
        </w:rPr>
        <w:t>Authors:</w:t>
      </w:r>
      <w:r w:rsidRPr="007A39B5">
        <w:rPr>
          <w:color w:val="auto"/>
        </w:rPr>
        <w:tab/>
      </w:r>
      <w:r w:rsidR="006E2163" w:rsidRPr="007A39B5">
        <w:rPr>
          <w:color w:val="auto"/>
        </w:rPr>
        <w:t>Quality and Academic Development</w:t>
      </w:r>
    </w:p>
    <w:p w14:paraId="75B8E4C8" w14:textId="2B12C006" w:rsidR="00261342" w:rsidRPr="007A39B5" w:rsidRDefault="00261342" w:rsidP="007A39B5">
      <w:pPr>
        <w:pStyle w:val="NoSpacing"/>
        <w:pBdr>
          <w:bottom w:val="single" w:sz="48" w:space="0" w:color="FFFFFF" w:themeColor="background1"/>
        </w:pBdr>
        <w:rPr>
          <w:color w:val="auto"/>
        </w:rPr>
      </w:pPr>
      <w:r w:rsidRPr="007A39B5">
        <w:rPr>
          <w:color w:val="auto"/>
        </w:rPr>
        <w:t>Publication date:</w:t>
      </w:r>
      <w:r w:rsidRPr="007A39B5">
        <w:rPr>
          <w:color w:val="auto"/>
        </w:rPr>
        <w:tab/>
      </w:r>
      <w:r w:rsidR="00B47A6F" w:rsidRPr="007A39B5">
        <w:rPr>
          <w:color w:val="auto"/>
        </w:rPr>
        <w:t>November 2023</w:t>
      </w:r>
    </w:p>
    <w:p w14:paraId="512DC597" w14:textId="55215D95" w:rsidR="000C6A83" w:rsidRPr="007A39B5" w:rsidRDefault="00261342" w:rsidP="007A39B5">
      <w:pPr>
        <w:pStyle w:val="NoSpacing"/>
        <w:pBdr>
          <w:bottom w:val="single" w:sz="48" w:space="0" w:color="FFFFFF" w:themeColor="background1"/>
        </w:pBdr>
        <w:rPr>
          <w:color w:val="auto"/>
        </w:rPr>
      </w:pPr>
      <w:r w:rsidRPr="007A39B5">
        <w:rPr>
          <w:color w:val="auto"/>
        </w:rPr>
        <w:t>Version:</w:t>
      </w:r>
      <w:r w:rsidRPr="007A39B5">
        <w:rPr>
          <w:color w:val="auto"/>
        </w:rPr>
        <w:tab/>
      </w:r>
      <w:r w:rsidR="006E2163" w:rsidRPr="007A39B5">
        <w:rPr>
          <w:color w:val="auto"/>
        </w:rPr>
        <w:t>1</w:t>
      </w:r>
      <w:r w:rsidRPr="007A39B5">
        <w:rPr>
          <w:color w:val="auto"/>
        </w:rPr>
        <w:t>.0</w:t>
      </w:r>
      <w:bookmarkEnd w:id="0"/>
      <w:bookmarkEnd w:id="1"/>
      <w:bookmarkEnd w:id="2"/>
      <w:r w:rsidR="000C6A83" w:rsidRPr="007A39B5">
        <w:rPr>
          <w:color w:val="auto"/>
        </w:rPr>
        <w:br w:type="page"/>
      </w:r>
    </w:p>
    <w:p w14:paraId="64021223"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9"/>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3E7EB237" w14:textId="77777777" w:rsidR="000C6A83" w:rsidRDefault="000C6A83">
          <w:pPr>
            <w:pStyle w:val="TOCHeading"/>
          </w:pPr>
          <w:r>
            <w:t>Table of Contents</w:t>
          </w:r>
        </w:p>
        <w:p w14:paraId="44408C34" w14:textId="31C050BD" w:rsidR="00EB20E5" w:rsidRDefault="000C6A83">
          <w:pPr>
            <w:pStyle w:val="TOC1"/>
            <w:rPr>
              <w:rFonts w:asciiTheme="minorHAnsi" w:eastAsiaTheme="minorEastAsia" w:hAnsiTheme="minorHAnsi"/>
              <w:noProof/>
              <w:color w:val="auto"/>
              <w:sz w:val="22"/>
              <w:szCs w:val="22"/>
              <w:lang w:eastAsia="en-GB"/>
            </w:rPr>
          </w:pPr>
          <w:r>
            <w:fldChar w:fldCharType="begin"/>
          </w:r>
          <w:r>
            <w:instrText xml:space="preserve"> TOC \h \z \u \t "Heading 2,1,Heading 3,2,Heading 4,3" </w:instrText>
          </w:r>
          <w:r>
            <w:fldChar w:fldCharType="separate"/>
          </w:r>
          <w:hyperlink w:anchor="_Toc149829126" w:history="1">
            <w:r w:rsidR="00EB20E5" w:rsidRPr="00731880">
              <w:rPr>
                <w:rStyle w:val="Hyperlink"/>
                <w:noProof/>
              </w:rPr>
              <w:t>Developing year-round delivery</w:t>
            </w:r>
            <w:r w:rsidR="00EB20E5">
              <w:rPr>
                <w:noProof/>
                <w:webHidden/>
              </w:rPr>
              <w:tab/>
            </w:r>
            <w:r w:rsidR="00EB20E5">
              <w:rPr>
                <w:noProof/>
                <w:webHidden/>
              </w:rPr>
              <w:fldChar w:fldCharType="begin"/>
            </w:r>
            <w:r w:rsidR="00EB20E5">
              <w:rPr>
                <w:noProof/>
                <w:webHidden/>
              </w:rPr>
              <w:instrText xml:space="preserve"> PAGEREF _Toc149829126 \h </w:instrText>
            </w:r>
            <w:r w:rsidR="00EB20E5">
              <w:rPr>
                <w:noProof/>
                <w:webHidden/>
              </w:rPr>
            </w:r>
            <w:r w:rsidR="00EB20E5">
              <w:rPr>
                <w:noProof/>
                <w:webHidden/>
              </w:rPr>
              <w:fldChar w:fldCharType="separate"/>
            </w:r>
            <w:r w:rsidR="00DC471A">
              <w:rPr>
                <w:noProof/>
                <w:webHidden/>
              </w:rPr>
              <w:t>1</w:t>
            </w:r>
            <w:r w:rsidR="00EB20E5">
              <w:rPr>
                <w:noProof/>
                <w:webHidden/>
              </w:rPr>
              <w:fldChar w:fldCharType="end"/>
            </w:r>
          </w:hyperlink>
        </w:p>
        <w:p w14:paraId="7B4F7C88" w14:textId="6AA115D2" w:rsidR="00EB20E5" w:rsidRDefault="00EB20E5">
          <w:pPr>
            <w:pStyle w:val="TOC2"/>
            <w:rPr>
              <w:rFonts w:eastAsiaTheme="minorEastAsia" w:cstheme="minorBidi"/>
              <w:iCs w:val="0"/>
              <w:noProof/>
              <w:color w:val="auto"/>
              <w:sz w:val="22"/>
              <w:szCs w:val="22"/>
              <w:lang w:eastAsia="en-GB"/>
            </w:rPr>
          </w:pPr>
          <w:hyperlink w:anchor="_Toc149829127" w:history="1">
            <w:r w:rsidRPr="00731880">
              <w:rPr>
                <w:rStyle w:val="Hyperlink"/>
                <w:noProof/>
              </w:rPr>
              <w:t>Introduction</w:t>
            </w:r>
            <w:r>
              <w:rPr>
                <w:noProof/>
                <w:webHidden/>
              </w:rPr>
              <w:tab/>
            </w:r>
            <w:r>
              <w:rPr>
                <w:noProof/>
                <w:webHidden/>
              </w:rPr>
              <w:fldChar w:fldCharType="begin"/>
            </w:r>
            <w:r>
              <w:rPr>
                <w:noProof/>
                <w:webHidden/>
              </w:rPr>
              <w:instrText xml:space="preserve"> PAGEREF _Toc149829127 \h </w:instrText>
            </w:r>
            <w:r>
              <w:rPr>
                <w:noProof/>
                <w:webHidden/>
              </w:rPr>
            </w:r>
            <w:r>
              <w:rPr>
                <w:noProof/>
                <w:webHidden/>
              </w:rPr>
              <w:fldChar w:fldCharType="separate"/>
            </w:r>
            <w:r w:rsidR="00DC471A">
              <w:rPr>
                <w:noProof/>
                <w:webHidden/>
              </w:rPr>
              <w:t>1</w:t>
            </w:r>
            <w:r>
              <w:rPr>
                <w:noProof/>
                <w:webHidden/>
              </w:rPr>
              <w:fldChar w:fldCharType="end"/>
            </w:r>
          </w:hyperlink>
        </w:p>
        <w:p w14:paraId="33695ED9" w14:textId="145F1799" w:rsidR="00EB20E5" w:rsidRDefault="00EB20E5">
          <w:pPr>
            <w:pStyle w:val="TOC3"/>
            <w:rPr>
              <w:rFonts w:eastAsiaTheme="minorEastAsia" w:cstheme="minorBidi"/>
              <w:iCs w:val="0"/>
              <w:noProof/>
              <w:color w:val="auto"/>
              <w:sz w:val="22"/>
              <w:szCs w:val="22"/>
              <w:lang w:eastAsia="en-GB"/>
            </w:rPr>
          </w:pPr>
          <w:hyperlink w:anchor="_Toc149829128" w:history="1">
            <w:r w:rsidRPr="00731880">
              <w:rPr>
                <w:rStyle w:val="Hyperlink"/>
                <w:noProof/>
              </w:rPr>
              <w:t>What is ‘year-round delivery’?</w:t>
            </w:r>
            <w:r>
              <w:rPr>
                <w:noProof/>
                <w:webHidden/>
              </w:rPr>
              <w:tab/>
            </w:r>
            <w:r>
              <w:rPr>
                <w:noProof/>
                <w:webHidden/>
              </w:rPr>
              <w:fldChar w:fldCharType="begin"/>
            </w:r>
            <w:r>
              <w:rPr>
                <w:noProof/>
                <w:webHidden/>
              </w:rPr>
              <w:instrText xml:space="preserve"> PAGEREF _Toc149829128 \h </w:instrText>
            </w:r>
            <w:r>
              <w:rPr>
                <w:noProof/>
                <w:webHidden/>
              </w:rPr>
            </w:r>
            <w:r>
              <w:rPr>
                <w:noProof/>
                <w:webHidden/>
              </w:rPr>
              <w:fldChar w:fldCharType="separate"/>
            </w:r>
            <w:r w:rsidR="00DC471A">
              <w:rPr>
                <w:noProof/>
                <w:webHidden/>
              </w:rPr>
              <w:t>1</w:t>
            </w:r>
            <w:r>
              <w:rPr>
                <w:noProof/>
                <w:webHidden/>
              </w:rPr>
              <w:fldChar w:fldCharType="end"/>
            </w:r>
          </w:hyperlink>
        </w:p>
        <w:p w14:paraId="6C6884F8" w14:textId="5AEA4E1F" w:rsidR="00EB20E5" w:rsidRDefault="00EB20E5">
          <w:pPr>
            <w:pStyle w:val="TOC3"/>
            <w:rPr>
              <w:rFonts w:eastAsiaTheme="minorEastAsia" w:cstheme="minorBidi"/>
              <w:iCs w:val="0"/>
              <w:noProof/>
              <w:color w:val="auto"/>
              <w:sz w:val="22"/>
              <w:szCs w:val="22"/>
              <w:lang w:eastAsia="en-GB"/>
            </w:rPr>
          </w:pPr>
          <w:hyperlink w:anchor="_Toc149829129" w:history="1">
            <w:r w:rsidRPr="00731880">
              <w:rPr>
                <w:rStyle w:val="Hyperlink"/>
                <w:noProof/>
              </w:rPr>
              <w:t>Why does year-round delivery require extra consideration?</w:t>
            </w:r>
            <w:r>
              <w:rPr>
                <w:noProof/>
                <w:webHidden/>
              </w:rPr>
              <w:tab/>
            </w:r>
            <w:r>
              <w:rPr>
                <w:noProof/>
                <w:webHidden/>
              </w:rPr>
              <w:fldChar w:fldCharType="begin"/>
            </w:r>
            <w:r>
              <w:rPr>
                <w:noProof/>
                <w:webHidden/>
              </w:rPr>
              <w:instrText xml:space="preserve"> PAGEREF _Toc149829129 \h </w:instrText>
            </w:r>
            <w:r>
              <w:rPr>
                <w:noProof/>
                <w:webHidden/>
              </w:rPr>
            </w:r>
            <w:r>
              <w:rPr>
                <w:noProof/>
                <w:webHidden/>
              </w:rPr>
              <w:fldChar w:fldCharType="separate"/>
            </w:r>
            <w:r w:rsidR="00DC471A">
              <w:rPr>
                <w:noProof/>
                <w:webHidden/>
              </w:rPr>
              <w:t>1</w:t>
            </w:r>
            <w:r>
              <w:rPr>
                <w:noProof/>
                <w:webHidden/>
              </w:rPr>
              <w:fldChar w:fldCharType="end"/>
            </w:r>
          </w:hyperlink>
        </w:p>
        <w:p w14:paraId="00C20BA5" w14:textId="653B7E1A" w:rsidR="00EB20E5" w:rsidRDefault="00EB20E5">
          <w:pPr>
            <w:pStyle w:val="TOC2"/>
            <w:rPr>
              <w:rFonts w:eastAsiaTheme="minorEastAsia" w:cstheme="minorBidi"/>
              <w:iCs w:val="0"/>
              <w:noProof/>
              <w:color w:val="auto"/>
              <w:sz w:val="22"/>
              <w:szCs w:val="22"/>
              <w:lang w:eastAsia="en-GB"/>
            </w:rPr>
          </w:pPr>
          <w:hyperlink w:anchor="_Toc149829130" w:history="1">
            <w:r w:rsidRPr="00731880">
              <w:rPr>
                <w:rStyle w:val="Hyperlink"/>
                <w:noProof/>
              </w:rPr>
              <w:t>Checklist: Teams to consult</w:t>
            </w:r>
            <w:r>
              <w:rPr>
                <w:noProof/>
                <w:webHidden/>
              </w:rPr>
              <w:tab/>
            </w:r>
            <w:r>
              <w:rPr>
                <w:noProof/>
                <w:webHidden/>
              </w:rPr>
              <w:fldChar w:fldCharType="begin"/>
            </w:r>
            <w:r>
              <w:rPr>
                <w:noProof/>
                <w:webHidden/>
              </w:rPr>
              <w:instrText xml:space="preserve"> PAGEREF _Toc149829130 \h </w:instrText>
            </w:r>
            <w:r>
              <w:rPr>
                <w:noProof/>
                <w:webHidden/>
              </w:rPr>
            </w:r>
            <w:r>
              <w:rPr>
                <w:noProof/>
                <w:webHidden/>
              </w:rPr>
              <w:fldChar w:fldCharType="separate"/>
            </w:r>
            <w:r w:rsidR="00DC471A">
              <w:rPr>
                <w:noProof/>
                <w:webHidden/>
              </w:rPr>
              <w:t>2</w:t>
            </w:r>
            <w:r>
              <w:rPr>
                <w:noProof/>
                <w:webHidden/>
              </w:rPr>
              <w:fldChar w:fldCharType="end"/>
            </w:r>
          </w:hyperlink>
        </w:p>
        <w:p w14:paraId="2F455BA2" w14:textId="3ACEDADB" w:rsidR="00EB20E5" w:rsidRDefault="00EB20E5">
          <w:pPr>
            <w:pStyle w:val="TOC3"/>
            <w:rPr>
              <w:rFonts w:eastAsiaTheme="minorEastAsia" w:cstheme="minorBidi"/>
              <w:iCs w:val="0"/>
              <w:noProof/>
              <w:color w:val="auto"/>
              <w:sz w:val="22"/>
              <w:szCs w:val="22"/>
              <w:lang w:eastAsia="en-GB"/>
            </w:rPr>
          </w:pPr>
          <w:hyperlink w:anchor="_Toc149829131" w:history="1">
            <w:r w:rsidRPr="00731880">
              <w:rPr>
                <w:rStyle w:val="Hyperlink"/>
                <w:noProof/>
              </w:rPr>
              <w:t>Other teams to consider</w:t>
            </w:r>
            <w:r>
              <w:rPr>
                <w:noProof/>
                <w:webHidden/>
              </w:rPr>
              <w:tab/>
            </w:r>
            <w:r>
              <w:rPr>
                <w:noProof/>
                <w:webHidden/>
              </w:rPr>
              <w:fldChar w:fldCharType="begin"/>
            </w:r>
            <w:r>
              <w:rPr>
                <w:noProof/>
                <w:webHidden/>
              </w:rPr>
              <w:instrText xml:space="preserve"> PAGEREF _Toc149829131 \h </w:instrText>
            </w:r>
            <w:r>
              <w:rPr>
                <w:noProof/>
                <w:webHidden/>
              </w:rPr>
            </w:r>
            <w:r>
              <w:rPr>
                <w:noProof/>
                <w:webHidden/>
              </w:rPr>
              <w:fldChar w:fldCharType="separate"/>
            </w:r>
            <w:r w:rsidR="00DC471A">
              <w:rPr>
                <w:noProof/>
                <w:webHidden/>
              </w:rPr>
              <w:t>2</w:t>
            </w:r>
            <w:r>
              <w:rPr>
                <w:noProof/>
                <w:webHidden/>
              </w:rPr>
              <w:fldChar w:fldCharType="end"/>
            </w:r>
          </w:hyperlink>
        </w:p>
        <w:p w14:paraId="12D93384" w14:textId="33F04854" w:rsidR="00EB20E5" w:rsidRDefault="00EB20E5">
          <w:pPr>
            <w:pStyle w:val="TOC2"/>
            <w:rPr>
              <w:rFonts w:eastAsiaTheme="minorEastAsia" w:cstheme="minorBidi"/>
              <w:iCs w:val="0"/>
              <w:noProof/>
              <w:color w:val="auto"/>
              <w:sz w:val="22"/>
              <w:szCs w:val="22"/>
              <w:lang w:eastAsia="en-GB"/>
            </w:rPr>
          </w:pPr>
          <w:hyperlink w:anchor="_Toc149829132" w:history="1">
            <w:r w:rsidRPr="00731880">
              <w:rPr>
                <w:rStyle w:val="Hyperlink"/>
                <w:noProof/>
              </w:rPr>
              <w:t>Checklist: Key information to provide</w:t>
            </w:r>
            <w:r>
              <w:rPr>
                <w:noProof/>
                <w:webHidden/>
              </w:rPr>
              <w:tab/>
            </w:r>
            <w:r>
              <w:rPr>
                <w:noProof/>
                <w:webHidden/>
              </w:rPr>
              <w:fldChar w:fldCharType="begin"/>
            </w:r>
            <w:r>
              <w:rPr>
                <w:noProof/>
                <w:webHidden/>
              </w:rPr>
              <w:instrText xml:space="preserve"> PAGEREF _Toc149829132 \h </w:instrText>
            </w:r>
            <w:r>
              <w:rPr>
                <w:noProof/>
                <w:webHidden/>
              </w:rPr>
            </w:r>
            <w:r>
              <w:rPr>
                <w:noProof/>
                <w:webHidden/>
              </w:rPr>
              <w:fldChar w:fldCharType="separate"/>
            </w:r>
            <w:r w:rsidR="00DC471A">
              <w:rPr>
                <w:noProof/>
                <w:webHidden/>
              </w:rPr>
              <w:t>3</w:t>
            </w:r>
            <w:r>
              <w:rPr>
                <w:noProof/>
                <w:webHidden/>
              </w:rPr>
              <w:fldChar w:fldCharType="end"/>
            </w:r>
          </w:hyperlink>
        </w:p>
        <w:p w14:paraId="319A0FE1" w14:textId="168B3D16" w:rsidR="00EB20E5" w:rsidRDefault="00EB20E5">
          <w:pPr>
            <w:pStyle w:val="TOC3"/>
            <w:rPr>
              <w:rFonts w:eastAsiaTheme="minorEastAsia" w:cstheme="minorBidi"/>
              <w:iCs w:val="0"/>
              <w:noProof/>
              <w:color w:val="auto"/>
              <w:sz w:val="22"/>
              <w:szCs w:val="22"/>
              <w:lang w:eastAsia="en-GB"/>
            </w:rPr>
          </w:pPr>
          <w:hyperlink w:anchor="_Toc149829133" w:history="1">
            <w:r w:rsidRPr="00731880">
              <w:rPr>
                <w:rStyle w:val="Hyperlink"/>
                <w:noProof/>
              </w:rPr>
              <w:t>For the course</w:t>
            </w:r>
            <w:r>
              <w:rPr>
                <w:noProof/>
                <w:webHidden/>
              </w:rPr>
              <w:tab/>
            </w:r>
            <w:r>
              <w:rPr>
                <w:noProof/>
                <w:webHidden/>
              </w:rPr>
              <w:fldChar w:fldCharType="begin"/>
            </w:r>
            <w:r>
              <w:rPr>
                <w:noProof/>
                <w:webHidden/>
              </w:rPr>
              <w:instrText xml:space="preserve"> PAGEREF _Toc149829133 \h </w:instrText>
            </w:r>
            <w:r>
              <w:rPr>
                <w:noProof/>
                <w:webHidden/>
              </w:rPr>
            </w:r>
            <w:r>
              <w:rPr>
                <w:noProof/>
                <w:webHidden/>
              </w:rPr>
              <w:fldChar w:fldCharType="separate"/>
            </w:r>
            <w:r w:rsidR="00DC471A">
              <w:rPr>
                <w:noProof/>
                <w:webHidden/>
              </w:rPr>
              <w:t>3</w:t>
            </w:r>
            <w:r>
              <w:rPr>
                <w:noProof/>
                <w:webHidden/>
              </w:rPr>
              <w:fldChar w:fldCharType="end"/>
            </w:r>
          </w:hyperlink>
        </w:p>
        <w:p w14:paraId="7E60006A" w14:textId="7FD6040F" w:rsidR="00EB20E5" w:rsidRDefault="00EB20E5">
          <w:pPr>
            <w:pStyle w:val="TOC3"/>
            <w:rPr>
              <w:rFonts w:eastAsiaTheme="minorEastAsia" w:cstheme="minorBidi"/>
              <w:iCs w:val="0"/>
              <w:noProof/>
              <w:color w:val="auto"/>
              <w:sz w:val="22"/>
              <w:szCs w:val="22"/>
              <w:lang w:eastAsia="en-GB"/>
            </w:rPr>
          </w:pPr>
          <w:hyperlink w:anchor="_Toc149829134" w:history="1">
            <w:r w:rsidRPr="00731880">
              <w:rPr>
                <w:rStyle w:val="Hyperlink"/>
                <w:noProof/>
              </w:rPr>
              <w:t>For individual modules</w:t>
            </w:r>
            <w:r>
              <w:rPr>
                <w:noProof/>
                <w:webHidden/>
              </w:rPr>
              <w:tab/>
            </w:r>
            <w:r>
              <w:rPr>
                <w:noProof/>
                <w:webHidden/>
              </w:rPr>
              <w:fldChar w:fldCharType="begin"/>
            </w:r>
            <w:r>
              <w:rPr>
                <w:noProof/>
                <w:webHidden/>
              </w:rPr>
              <w:instrText xml:space="preserve"> PAGEREF _Toc149829134 \h </w:instrText>
            </w:r>
            <w:r>
              <w:rPr>
                <w:noProof/>
                <w:webHidden/>
              </w:rPr>
            </w:r>
            <w:r>
              <w:rPr>
                <w:noProof/>
                <w:webHidden/>
              </w:rPr>
              <w:fldChar w:fldCharType="separate"/>
            </w:r>
            <w:r w:rsidR="00DC471A">
              <w:rPr>
                <w:noProof/>
                <w:webHidden/>
              </w:rPr>
              <w:t>3</w:t>
            </w:r>
            <w:r>
              <w:rPr>
                <w:noProof/>
                <w:webHidden/>
              </w:rPr>
              <w:fldChar w:fldCharType="end"/>
            </w:r>
          </w:hyperlink>
        </w:p>
        <w:p w14:paraId="43FCEA9D" w14:textId="7AB50F91" w:rsidR="00EB20E5" w:rsidRDefault="00EB20E5">
          <w:pPr>
            <w:pStyle w:val="TOC3"/>
            <w:rPr>
              <w:rFonts w:eastAsiaTheme="minorEastAsia" w:cstheme="minorBidi"/>
              <w:iCs w:val="0"/>
              <w:noProof/>
              <w:color w:val="auto"/>
              <w:sz w:val="22"/>
              <w:szCs w:val="22"/>
              <w:lang w:eastAsia="en-GB"/>
            </w:rPr>
          </w:pPr>
          <w:hyperlink w:anchor="_Toc149829135" w:history="1">
            <w:r w:rsidRPr="00731880">
              <w:rPr>
                <w:rStyle w:val="Hyperlink"/>
                <w:noProof/>
              </w:rPr>
              <w:t>Other things to consider</w:t>
            </w:r>
            <w:r>
              <w:rPr>
                <w:noProof/>
                <w:webHidden/>
              </w:rPr>
              <w:tab/>
            </w:r>
            <w:r>
              <w:rPr>
                <w:noProof/>
                <w:webHidden/>
              </w:rPr>
              <w:fldChar w:fldCharType="begin"/>
            </w:r>
            <w:r>
              <w:rPr>
                <w:noProof/>
                <w:webHidden/>
              </w:rPr>
              <w:instrText xml:space="preserve"> PAGEREF _Toc149829135 \h </w:instrText>
            </w:r>
            <w:r>
              <w:rPr>
                <w:noProof/>
                <w:webHidden/>
              </w:rPr>
            </w:r>
            <w:r>
              <w:rPr>
                <w:noProof/>
                <w:webHidden/>
              </w:rPr>
              <w:fldChar w:fldCharType="separate"/>
            </w:r>
            <w:r w:rsidR="00DC471A">
              <w:rPr>
                <w:noProof/>
                <w:webHidden/>
              </w:rPr>
              <w:t>4</w:t>
            </w:r>
            <w:r>
              <w:rPr>
                <w:noProof/>
                <w:webHidden/>
              </w:rPr>
              <w:fldChar w:fldCharType="end"/>
            </w:r>
          </w:hyperlink>
        </w:p>
        <w:p w14:paraId="58C17442" w14:textId="6CB5B70A" w:rsidR="00EB20E5" w:rsidRDefault="00EB20E5">
          <w:pPr>
            <w:pStyle w:val="TOC2"/>
            <w:rPr>
              <w:rFonts w:eastAsiaTheme="minorEastAsia" w:cstheme="minorBidi"/>
              <w:iCs w:val="0"/>
              <w:noProof/>
              <w:color w:val="auto"/>
              <w:sz w:val="22"/>
              <w:szCs w:val="22"/>
              <w:lang w:eastAsia="en-GB"/>
            </w:rPr>
          </w:pPr>
          <w:hyperlink w:anchor="_Toc149829136" w:history="1">
            <w:r w:rsidRPr="00731880">
              <w:rPr>
                <w:rStyle w:val="Hyperlink"/>
                <w:noProof/>
              </w:rPr>
              <w:t>Where to go for more information</w:t>
            </w:r>
            <w:r>
              <w:rPr>
                <w:noProof/>
                <w:webHidden/>
              </w:rPr>
              <w:tab/>
            </w:r>
            <w:r>
              <w:rPr>
                <w:noProof/>
                <w:webHidden/>
              </w:rPr>
              <w:fldChar w:fldCharType="begin"/>
            </w:r>
            <w:r>
              <w:rPr>
                <w:noProof/>
                <w:webHidden/>
              </w:rPr>
              <w:instrText xml:space="preserve"> PAGEREF _Toc149829136 \h </w:instrText>
            </w:r>
            <w:r>
              <w:rPr>
                <w:noProof/>
                <w:webHidden/>
              </w:rPr>
            </w:r>
            <w:r>
              <w:rPr>
                <w:noProof/>
                <w:webHidden/>
              </w:rPr>
              <w:fldChar w:fldCharType="separate"/>
            </w:r>
            <w:r w:rsidR="00DC471A">
              <w:rPr>
                <w:noProof/>
                <w:webHidden/>
              </w:rPr>
              <w:t>4</w:t>
            </w:r>
            <w:r>
              <w:rPr>
                <w:noProof/>
                <w:webHidden/>
              </w:rPr>
              <w:fldChar w:fldCharType="end"/>
            </w:r>
          </w:hyperlink>
        </w:p>
        <w:p w14:paraId="6B2DFAD2" w14:textId="1095DF0C" w:rsidR="00873700" w:rsidRDefault="000C6A83" w:rsidP="00873700">
          <w:pPr>
            <w:rPr>
              <w:noProof/>
            </w:rPr>
          </w:pPr>
          <w:r>
            <w:rPr>
              <w:rFonts w:asciiTheme="majorHAnsi" w:hAnsiTheme="majorHAnsi"/>
            </w:rPr>
            <w:fldChar w:fldCharType="end"/>
          </w:r>
        </w:p>
      </w:sdtContent>
    </w:sdt>
    <w:p w14:paraId="5DFC39C8" w14:textId="77777777" w:rsidR="00860862" w:rsidRDefault="00860862">
      <w:pPr>
        <w:snapToGrid/>
        <w:spacing w:after="0" w:line="240" w:lineRule="auto"/>
      </w:pPr>
      <w:r>
        <w:br w:type="page"/>
      </w:r>
    </w:p>
    <w:p w14:paraId="30419249" w14:textId="0F6AF6A1" w:rsidR="00740776" w:rsidRPr="00D96FE5" w:rsidRDefault="006E2163" w:rsidP="00860862">
      <w:pPr>
        <w:pStyle w:val="Heading2"/>
      </w:pPr>
      <w:bookmarkStart w:id="3" w:name="_Toc149829126"/>
      <w:r>
        <w:lastRenderedPageBreak/>
        <w:t>Developing year-round delivery</w:t>
      </w:r>
      <w:bookmarkEnd w:id="3"/>
    </w:p>
    <w:p w14:paraId="5E95D22F" w14:textId="1326297B" w:rsidR="007D294F" w:rsidRPr="002743A6" w:rsidRDefault="006E2163" w:rsidP="00020F80">
      <w:pPr>
        <w:pStyle w:val="Heading3"/>
      </w:pPr>
      <w:bookmarkStart w:id="4" w:name="_Toc149829127"/>
      <w:r>
        <w:t>Introduction</w:t>
      </w:r>
      <w:bookmarkEnd w:id="4"/>
    </w:p>
    <w:p w14:paraId="087E29D6" w14:textId="58588522" w:rsidR="006E2163" w:rsidRDefault="006E2163" w:rsidP="00DC471A">
      <w:r w:rsidRPr="006E2163">
        <w:t xml:space="preserve">This guidance document is for departments who are considering creating courses </w:t>
      </w:r>
      <w:r w:rsidR="0053085F">
        <w:t>and modules</w:t>
      </w:r>
      <w:r w:rsidRPr="006E2163">
        <w:t xml:space="preserve"> </w:t>
      </w:r>
      <w:r w:rsidR="0053085F">
        <w:t>start and end</w:t>
      </w:r>
      <w:r w:rsidRPr="006E2163">
        <w:t xml:space="preserve"> dates that fall outside ‘standard’ University of Essex term dates. It includes two checklists: one with details of teams that should be consulted for advice and guidance before submitting a request for approval, and one checklist of key information that the department will need to provide</w:t>
      </w:r>
      <w:r>
        <w:t>.</w:t>
      </w:r>
    </w:p>
    <w:p w14:paraId="34AD42D8" w14:textId="45653F8D" w:rsidR="00A72AF3" w:rsidRPr="00F722EE" w:rsidRDefault="006E2163" w:rsidP="00020F80">
      <w:pPr>
        <w:pStyle w:val="Heading4"/>
      </w:pPr>
      <w:bookmarkStart w:id="5" w:name="_Toc149829128"/>
      <w:r>
        <w:t>What is ‘year-round delivery’?</w:t>
      </w:r>
      <w:bookmarkEnd w:id="5"/>
    </w:p>
    <w:p w14:paraId="72962095" w14:textId="2953BADA" w:rsidR="006E2163" w:rsidRDefault="006E2163" w:rsidP="00F21934">
      <w:r w:rsidRPr="006E2163">
        <w:t xml:space="preserve">Like most UK Higher Education Institutions, the University of Essex has a ‘standard’ academic year which runs from autumn to summer, with </w:t>
      </w:r>
      <w:hyperlink r:id="rId10" w:history="1">
        <w:r w:rsidRPr="006E2163">
          <w:rPr>
            <w:rStyle w:val="Hyperlink"/>
          </w:rPr>
          <w:t>term dates approved by Senate</w:t>
        </w:r>
      </w:hyperlink>
      <w:r w:rsidRPr="006E2163">
        <w:t xml:space="preserve">.  </w:t>
      </w:r>
    </w:p>
    <w:p w14:paraId="11671468" w14:textId="7E8E2406" w:rsidR="006E2163" w:rsidRDefault="006E2163" w:rsidP="00F21934">
      <w:r w:rsidRPr="006E2163">
        <w:t>Most provision fits these dates. However, there are some courses where this isn’t appropriate or possible, or where it isn't the best option.</w:t>
      </w:r>
      <w:r w:rsidR="007E7E81">
        <w:t xml:space="preserve"> Some courses require multiple entry points.</w:t>
      </w:r>
      <w:r w:rsidRPr="006E2163">
        <w:t xml:space="preserve"> This might be due to market demand (for example for accelerated courses), the requirements of external funding, or a need to offer students greater flexibility</w:t>
      </w:r>
      <w:r w:rsidR="007E7E81">
        <w:t xml:space="preserve"> around </w:t>
      </w:r>
      <w:r w:rsidRPr="006E2163">
        <w:t xml:space="preserve">. For these courses the dates of the course, individual modules or both will be tailored to the provision rather than the ’standard’ academic year.  </w:t>
      </w:r>
    </w:p>
    <w:p w14:paraId="205CE76F" w14:textId="77777777" w:rsidR="006F6CF1" w:rsidRDefault="006F6CF1" w:rsidP="006F6CF1">
      <w:pPr>
        <w:pStyle w:val="Heading4"/>
      </w:pPr>
      <w:bookmarkStart w:id="6" w:name="_Toc149829129"/>
      <w:r w:rsidRPr="006F6CF1">
        <w:t>Why does year-round delivery require extra consideration?</w:t>
      </w:r>
      <w:bookmarkEnd w:id="6"/>
      <w:r w:rsidRPr="006F6CF1">
        <w:t xml:space="preserve"> </w:t>
      </w:r>
    </w:p>
    <w:p w14:paraId="4CAC48B5" w14:textId="3EBAE791" w:rsidR="006F6CF1" w:rsidRDefault="006F6CF1" w:rsidP="00F21934">
      <w:r w:rsidRPr="006F6CF1">
        <w:t>Consulting, notifying, and liaising with key University teams (see the list on the next page) will         improve the student experience from recruitment to graduation and will avoid difficulties that can    impact on teaching and administrative staff in the department running the course. Many of the University’s student-centred processes — from the allocation of accommodation to the processing of exam results — are typically run around the ’standard’ academic year. Things can be set up differently for individual courses, but this may include significant extra work and, crucially, can only be done if teams know that this will be required in advance. The earlier these conversations happen the smoother all the processes essential to the course can run.</w:t>
      </w:r>
    </w:p>
    <w:p w14:paraId="6A80FEC1" w14:textId="0D905507" w:rsidR="002D1A35" w:rsidRDefault="002D1A35">
      <w:pPr>
        <w:snapToGrid/>
        <w:spacing w:after="0" w:line="240" w:lineRule="auto"/>
        <w:rPr>
          <w:b/>
          <w:bCs/>
        </w:rPr>
      </w:pPr>
      <w:r>
        <w:rPr>
          <w:b/>
          <w:bCs/>
        </w:rPr>
        <w:br w:type="page"/>
      </w:r>
    </w:p>
    <w:p w14:paraId="751AAD4E" w14:textId="76577C48" w:rsidR="006F6CF1" w:rsidRDefault="002D1A35" w:rsidP="002D1A35">
      <w:pPr>
        <w:pStyle w:val="Heading3"/>
      </w:pPr>
      <w:bookmarkStart w:id="7" w:name="_Toc149829130"/>
      <w:r>
        <w:lastRenderedPageBreak/>
        <w:t>Checklist: Teams to consult</w:t>
      </w:r>
      <w:bookmarkEnd w:id="7"/>
    </w:p>
    <w:p w14:paraId="30A74BA4" w14:textId="41D58EF9" w:rsidR="002D1A35" w:rsidRDefault="002D1A35" w:rsidP="002D1A35">
      <w:r w:rsidRPr="002D1A35">
        <w:t xml:space="preserve">If you are considering either a new course or module with year-round delivery or making changes to existing provision then consulting these teams at an early stage is vital to ensuring that all systems, </w:t>
      </w:r>
      <w:r w:rsidR="0032497D" w:rsidRPr="002D1A35">
        <w:t>procedures,</w:t>
      </w:r>
      <w:r w:rsidRPr="002D1A35">
        <w:t xml:space="preserve"> and resources are in place and so to safeguard the experience of your students.</w:t>
      </w:r>
    </w:p>
    <w:p w14:paraId="22FA19B3" w14:textId="74BFFBFE" w:rsidR="00DC471A" w:rsidRDefault="001E273C" w:rsidP="002D1A35">
      <w:r>
        <w:rPr>
          <w:noProof/>
        </w:rPr>
        <w:drawing>
          <wp:inline distT="0" distB="0" distL="0" distR="0" wp14:anchorId="66AF3F60" wp14:editId="6C20845C">
            <wp:extent cx="6861175" cy="4610100"/>
            <wp:effectExtent l="0" t="0" r="53975" b="19050"/>
            <wp:docPr id="1415351086" name="Diagram 1" descr="A visual representation of the teams to consul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249FC3D" w14:textId="1E6FB440" w:rsidR="002D1777" w:rsidRDefault="002D1777" w:rsidP="002D1777">
      <w:pPr>
        <w:pStyle w:val="Heading4"/>
      </w:pPr>
      <w:bookmarkStart w:id="8" w:name="_Toc149829131"/>
      <w:r>
        <w:t>Other teams to consider</w:t>
      </w:r>
      <w:bookmarkEnd w:id="8"/>
    </w:p>
    <w:p w14:paraId="3C66D8D6" w14:textId="6A99859D" w:rsidR="002D1777" w:rsidRDefault="00EE1CEB" w:rsidP="002D1777">
      <w:r w:rsidRPr="00EE1CEB">
        <w:t>Running a course with term, teaching or assessment dates that sit outside of the ’standard’ University dates may require liaison with teams across the University to ensure that your students receive support, advice and services at the correct time and based on accurate</w:t>
      </w:r>
      <w:r>
        <w:t xml:space="preserve"> </w:t>
      </w:r>
      <w:r w:rsidRPr="00EE1CEB">
        <w:t>information. These teams might include:</w:t>
      </w:r>
    </w:p>
    <w:p w14:paraId="273C580D" w14:textId="0B0B25B3" w:rsidR="00EE1CEB" w:rsidRDefault="00EE1CEB" w:rsidP="002D1777">
      <w:r w:rsidRPr="00EE1CEB">
        <w:rPr>
          <w:color w:val="007A88"/>
        </w:rPr>
        <w:t xml:space="preserve">■ </w:t>
      </w:r>
      <w:r w:rsidRPr="00EE1CEB">
        <w:t xml:space="preserve">Admissions </w:t>
      </w:r>
      <w:r w:rsidRPr="00EE1CEB">
        <w:rPr>
          <w:color w:val="007A88"/>
        </w:rPr>
        <w:t xml:space="preserve">■ </w:t>
      </w:r>
      <w:r w:rsidR="0053508A" w:rsidRPr="0053508A">
        <w:t xml:space="preserve">Apprenticeships Hub </w:t>
      </w:r>
      <w:r w:rsidR="0053508A" w:rsidRPr="00EE1CEB">
        <w:rPr>
          <w:color w:val="007A88"/>
        </w:rPr>
        <w:t>■</w:t>
      </w:r>
      <w:r w:rsidR="0053508A">
        <w:rPr>
          <w:color w:val="007A88"/>
        </w:rPr>
        <w:t xml:space="preserve"> </w:t>
      </w:r>
      <w:r w:rsidRPr="00EE1CEB">
        <w:t xml:space="preserve">Graduation </w:t>
      </w:r>
      <w:r w:rsidRPr="00EE1CEB">
        <w:rPr>
          <w:color w:val="007A88"/>
        </w:rPr>
        <w:t xml:space="preserve">■ </w:t>
      </w:r>
      <w:r w:rsidRPr="00EE1CEB">
        <w:t xml:space="preserve">Registration </w:t>
      </w:r>
      <w:r w:rsidRPr="00EE1CEB">
        <w:rPr>
          <w:color w:val="007A88"/>
        </w:rPr>
        <w:t>■</w:t>
      </w:r>
      <w:r w:rsidRPr="00EE1CEB">
        <w:t xml:space="preserve"> </w:t>
      </w:r>
      <w:r w:rsidR="00DC471A">
        <w:t xml:space="preserve">International Services Team </w:t>
      </w:r>
      <w:r w:rsidR="00DC471A" w:rsidRPr="00EE1CEB">
        <w:rPr>
          <w:color w:val="007A88"/>
        </w:rPr>
        <w:t>■</w:t>
      </w:r>
      <w:r w:rsidR="00DC471A">
        <w:rPr>
          <w:color w:val="007A88"/>
        </w:rPr>
        <w:t xml:space="preserve"> </w:t>
      </w:r>
      <w:r w:rsidRPr="00EE1CEB">
        <w:t xml:space="preserve">Student Development </w:t>
      </w:r>
      <w:r w:rsidRPr="00EE1CEB">
        <w:rPr>
          <w:color w:val="007A88"/>
        </w:rPr>
        <w:t xml:space="preserve">■ </w:t>
      </w:r>
      <w:r w:rsidRPr="00EE1CEB">
        <w:t xml:space="preserve">Student Information </w:t>
      </w:r>
      <w:r w:rsidRPr="00EE1CEB">
        <w:rPr>
          <w:color w:val="007A88"/>
        </w:rPr>
        <w:t xml:space="preserve">■ </w:t>
      </w:r>
      <w:r w:rsidRPr="00EE1CEB">
        <w:t>Student E</w:t>
      </w:r>
      <w:r w:rsidR="00DC471A">
        <w:t>xperience</w:t>
      </w:r>
      <w:r w:rsidRPr="00EE1CEB">
        <w:t xml:space="preserve"> </w:t>
      </w:r>
      <w:r w:rsidRPr="00EE1CEB">
        <w:rPr>
          <w:color w:val="007A88"/>
        </w:rPr>
        <w:t>■</w:t>
      </w:r>
      <w:r w:rsidRPr="00EE1CEB">
        <w:t xml:space="preserve"> Student Progress </w:t>
      </w:r>
      <w:r w:rsidRPr="00EE1CEB">
        <w:rPr>
          <w:color w:val="007A88"/>
        </w:rPr>
        <w:t>■</w:t>
      </w:r>
      <w:r w:rsidRPr="00EE1CEB">
        <w:t xml:space="preserve"> Student Wellbeing and Inclusivity</w:t>
      </w:r>
    </w:p>
    <w:p w14:paraId="02326A02" w14:textId="0CDF4200" w:rsidR="00DE6EAF" w:rsidRDefault="00EE1CEB" w:rsidP="002D1777">
      <w:r w:rsidRPr="00EE1CEB">
        <w:t>Remember that you should also consult with any team that you would as part of any course approval or significant change, and any teams that might be specifically relevant to your course</w:t>
      </w:r>
      <w:r w:rsidR="0053508A">
        <w:t>. Apprenticeships require additional consideration to be given to how the course will be mapped to the relevant Apprenticeship Standard, so ensure you are liaising with the Apprenticeships Hub about this.</w:t>
      </w:r>
    </w:p>
    <w:p w14:paraId="6BF3A694" w14:textId="77777777" w:rsidR="00DE6EAF" w:rsidRDefault="00DE6EAF">
      <w:pPr>
        <w:snapToGrid/>
        <w:spacing w:after="0" w:line="240" w:lineRule="auto"/>
      </w:pPr>
      <w:r>
        <w:br w:type="page"/>
      </w:r>
    </w:p>
    <w:p w14:paraId="6B393626" w14:textId="6DC28AAF" w:rsidR="00EE1CEB" w:rsidRDefault="0049595E" w:rsidP="0049595E">
      <w:pPr>
        <w:pStyle w:val="Heading3"/>
      </w:pPr>
      <w:bookmarkStart w:id="9" w:name="_Toc149829132"/>
      <w:r>
        <w:lastRenderedPageBreak/>
        <w:t>Checklist: Key information to provide</w:t>
      </w:r>
      <w:bookmarkEnd w:id="9"/>
    </w:p>
    <w:p w14:paraId="5B4F5C00" w14:textId="0FD005CB" w:rsidR="0049595E" w:rsidRPr="00777E67" w:rsidRDefault="0049595E" w:rsidP="0049595E">
      <w:r w:rsidRPr="00777E67">
        <w:t>This checklist shows the information that will be needed to provide teams across the University with all that they need to know to ensure that all their systems and procedures are set up appropriately for this new course or module, or if any change to existing provision involves a move to year-round delivery.</w:t>
      </w:r>
    </w:p>
    <w:p w14:paraId="641FD03B" w14:textId="77777777" w:rsidR="0049595E" w:rsidRPr="00D63611" w:rsidRDefault="0049595E" w:rsidP="0049595E">
      <w:pPr>
        <w:pStyle w:val="Default"/>
        <w:rPr>
          <w:highlight w:val="yellow"/>
        </w:rPr>
      </w:pPr>
    </w:p>
    <w:p w14:paraId="247B8353" w14:textId="33F3E8FF" w:rsidR="0049595E" w:rsidRPr="00777E67" w:rsidRDefault="0049595E" w:rsidP="0049595E">
      <w:pPr>
        <w:pStyle w:val="Heading4"/>
      </w:pPr>
      <w:bookmarkStart w:id="10" w:name="_Toc149829133"/>
      <w:r w:rsidRPr="00777E67">
        <w:t>For the course</w:t>
      </w:r>
      <w:bookmarkEnd w:id="10"/>
    </w:p>
    <w:p w14:paraId="3169D23B" w14:textId="1F702119" w:rsidR="0049595E" w:rsidRPr="00777E67" w:rsidRDefault="0049595E" w:rsidP="0049595E">
      <w:pPr>
        <w:pStyle w:val="Default"/>
        <w:numPr>
          <w:ilvl w:val="0"/>
          <w:numId w:val="40"/>
        </w:numPr>
        <w:spacing w:after="51"/>
      </w:pPr>
      <w:r w:rsidRPr="00777E67">
        <w:t>Course start and end dates</w:t>
      </w:r>
      <w:r w:rsidR="00F15B65">
        <w:t>; please ensure there is academic engagement until the end of the course</w:t>
      </w:r>
      <w:r w:rsidR="00DC471A">
        <w:t xml:space="preserve"> and that you liaise with International Services regarding the requirements for in-person engagement</w:t>
      </w:r>
    </w:p>
    <w:p w14:paraId="43B2FB6C" w14:textId="65898ADD" w:rsidR="0049595E" w:rsidRPr="00777E67" w:rsidRDefault="0049595E" w:rsidP="0049595E">
      <w:pPr>
        <w:pStyle w:val="Default"/>
        <w:numPr>
          <w:ilvl w:val="0"/>
          <w:numId w:val="40"/>
        </w:numPr>
        <w:spacing w:after="51"/>
      </w:pPr>
      <w:r w:rsidRPr="00777E67">
        <w:t xml:space="preserve">Expected course dates, including study weeks and breaks </w:t>
      </w:r>
    </w:p>
    <w:p w14:paraId="44643DD8" w14:textId="571C7E3B" w:rsidR="0049595E" w:rsidRPr="00777E67" w:rsidRDefault="0049595E" w:rsidP="0049595E">
      <w:pPr>
        <w:pStyle w:val="Default"/>
        <w:numPr>
          <w:ilvl w:val="0"/>
          <w:numId w:val="40"/>
        </w:numPr>
        <w:spacing w:after="51"/>
      </w:pPr>
      <w:r w:rsidRPr="00777E67">
        <w:t xml:space="preserve">Dates of any placements within the course </w:t>
      </w:r>
    </w:p>
    <w:p w14:paraId="54A5589D" w14:textId="1C6C958B" w:rsidR="0049595E" w:rsidRPr="00777E67" w:rsidRDefault="0049595E" w:rsidP="0049595E">
      <w:pPr>
        <w:pStyle w:val="Default"/>
        <w:numPr>
          <w:ilvl w:val="0"/>
          <w:numId w:val="40"/>
        </w:numPr>
        <w:spacing w:after="51"/>
      </w:pPr>
      <w:r w:rsidRPr="00777E67">
        <w:t xml:space="preserve">Any teaching or assessment periods that will cross ‘standard’ academic years </w:t>
      </w:r>
    </w:p>
    <w:p w14:paraId="6645745F" w14:textId="1627F015" w:rsidR="0049595E" w:rsidRPr="00777E67" w:rsidRDefault="0049595E" w:rsidP="0049595E">
      <w:pPr>
        <w:pStyle w:val="Default"/>
        <w:numPr>
          <w:ilvl w:val="0"/>
          <w:numId w:val="40"/>
        </w:numPr>
      </w:pPr>
      <w:r w:rsidRPr="00777E67">
        <w:t xml:space="preserve">Expected exam board and results date for the course; this should be discussed with Assessment in advance </w:t>
      </w:r>
    </w:p>
    <w:p w14:paraId="42AB2AF1" w14:textId="16FA83A7" w:rsidR="0049595E" w:rsidRPr="00D63611" w:rsidRDefault="0049595E" w:rsidP="0049595E">
      <w:pPr>
        <w:rPr>
          <w:highlight w:val="yellow"/>
        </w:rPr>
      </w:pPr>
    </w:p>
    <w:p w14:paraId="59070D4E" w14:textId="45505083" w:rsidR="001833DE" w:rsidRPr="00777E67" w:rsidRDefault="001833DE" w:rsidP="001833DE">
      <w:r w:rsidRPr="00777E67">
        <w:t xml:space="preserve">For </w:t>
      </w:r>
      <w:r w:rsidRPr="00777E67">
        <w:rPr>
          <w:b/>
          <w:bCs/>
        </w:rPr>
        <w:t>new courses</w:t>
      </w:r>
      <w:r w:rsidRPr="00777E67">
        <w:t xml:space="preserve">, this information should be provided in the </w:t>
      </w:r>
      <w:hyperlink r:id="rId16" w:history="1">
        <w:r w:rsidRPr="00777E67">
          <w:rPr>
            <w:rStyle w:val="Hyperlink"/>
          </w:rPr>
          <w:t>new course concept stage approval form</w:t>
        </w:r>
      </w:hyperlink>
      <w:r w:rsidRPr="00777E67">
        <w:t xml:space="preserve">, or in section E of the </w:t>
      </w:r>
      <w:hyperlink r:id="rId17" w:history="1">
        <w:r w:rsidRPr="00777E67">
          <w:rPr>
            <w:rStyle w:val="Hyperlink"/>
          </w:rPr>
          <w:t>new course development stage approval form</w:t>
        </w:r>
      </w:hyperlink>
      <w:r w:rsidRPr="00777E67">
        <w:t xml:space="preserve">, after discussion with your Faculty Quality and Academic Development (QUAD) manager. </w:t>
      </w:r>
      <w:r w:rsidR="00F15B65">
        <w:t xml:space="preserve">Please be aware there are different forms for new apprenticeships and courses with a January start. Contact </w:t>
      </w:r>
      <w:hyperlink r:id="rId18" w:history="1">
        <w:r w:rsidR="00F15B65" w:rsidRPr="00B54A52">
          <w:rPr>
            <w:rStyle w:val="Hyperlink"/>
          </w:rPr>
          <w:t>quad@essex.ac.uk</w:t>
        </w:r>
      </w:hyperlink>
      <w:r w:rsidR="00F15B65">
        <w:t xml:space="preserve"> for information on these and ensure you</w:t>
      </w:r>
      <w:r w:rsidR="001A70D2">
        <w:t xml:space="preserve"> also</w:t>
      </w:r>
      <w:r w:rsidR="00F15B65">
        <w:t xml:space="preserve"> liaise with </w:t>
      </w:r>
      <w:r w:rsidR="001A70D2">
        <w:t>the Apprenticeships Hub if developing a new apprenticeship.</w:t>
      </w:r>
    </w:p>
    <w:p w14:paraId="23996633" w14:textId="36BFF2E2" w:rsidR="001833DE" w:rsidRPr="00777E67" w:rsidRDefault="001833DE" w:rsidP="001833DE">
      <w:r w:rsidRPr="00777E67">
        <w:rPr>
          <w:b/>
          <w:bCs/>
        </w:rPr>
        <w:t xml:space="preserve">Changes to existing courses </w:t>
      </w:r>
      <w:r w:rsidRPr="00777E67">
        <w:t xml:space="preserve">should be provided via the </w:t>
      </w:r>
      <w:hyperlink r:id="rId19" w:history="1">
        <w:r w:rsidRPr="00777E67">
          <w:rPr>
            <w:rStyle w:val="Hyperlink"/>
          </w:rPr>
          <w:t>Curriculum Update</w:t>
        </w:r>
      </w:hyperlink>
      <w:r w:rsidRPr="00777E67">
        <w:t>.</w:t>
      </w:r>
    </w:p>
    <w:p w14:paraId="51698792" w14:textId="77777777" w:rsidR="009102DE" w:rsidRPr="00D63611" w:rsidRDefault="009102DE" w:rsidP="009102DE">
      <w:pPr>
        <w:pStyle w:val="Default"/>
        <w:rPr>
          <w:highlight w:val="yellow"/>
        </w:rPr>
      </w:pPr>
    </w:p>
    <w:p w14:paraId="7ECEC9A3" w14:textId="75DBFA1F" w:rsidR="009102DE" w:rsidRPr="00777E67" w:rsidRDefault="009102DE" w:rsidP="009102DE">
      <w:pPr>
        <w:pStyle w:val="Heading4"/>
      </w:pPr>
      <w:bookmarkStart w:id="11" w:name="_Toc149829134"/>
      <w:r w:rsidRPr="00777E67">
        <w:t>For individual modules</w:t>
      </w:r>
      <w:bookmarkEnd w:id="11"/>
    </w:p>
    <w:p w14:paraId="370BB05C" w14:textId="0CA40DEC" w:rsidR="009102DE" w:rsidRPr="00777E67" w:rsidRDefault="009102DE" w:rsidP="009102DE">
      <w:pPr>
        <w:pStyle w:val="Default"/>
        <w:numPr>
          <w:ilvl w:val="0"/>
          <w:numId w:val="40"/>
        </w:numPr>
        <w:spacing w:after="51"/>
      </w:pPr>
      <w:r w:rsidRPr="00777E67">
        <w:t>Start and end date of the module (including the assessment and teaching periods, where relevant. Please ensure the final assessment deadlines fall within the student registration and CAS dates</w:t>
      </w:r>
      <w:r w:rsidR="00777E67" w:rsidRPr="00777E67">
        <w:t>, and that there is academic engagement until the CAS end date for courses</w:t>
      </w:r>
    </w:p>
    <w:p w14:paraId="5B27D770" w14:textId="619F4AF6" w:rsidR="009102DE" w:rsidRPr="00777E67" w:rsidRDefault="009102DE" w:rsidP="009102DE">
      <w:pPr>
        <w:pStyle w:val="Default"/>
        <w:numPr>
          <w:ilvl w:val="0"/>
          <w:numId w:val="40"/>
        </w:numPr>
        <w:spacing w:after="51"/>
      </w:pPr>
      <w:r w:rsidRPr="00777E67">
        <w:t xml:space="preserve">Reassessment dates, especially if these will fall in a different academic year to the assessment </w:t>
      </w:r>
    </w:p>
    <w:p w14:paraId="61D34A26" w14:textId="1083DF78" w:rsidR="00F720D0" w:rsidRDefault="009102DE" w:rsidP="009102DE">
      <w:pPr>
        <w:pStyle w:val="Default"/>
        <w:numPr>
          <w:ilvl w:val="0"/>
          <w:numId w:val="40"/>
        </w:numPr>
        <w:spacing w:after="51"/>
      </w:pPr>
      <w:r w:rsidRPr="00777E67">
        <w:t xml:space="preserve">Dates of any study weeks or breaks </w:t>
      </w:r>
    </w:p>
    <w:p w14:paraId="2E20B3CB" w14:textId="5D390ABF" w:rsidR="00777E67" w:rsidRPr="00777E67" w:rsidRDefault="00777E67" w:rsidP="009102DE">
      <w:pPr>
        <w:pStyle w:val="Default"/>
        <w:numPr>
          <w:ilvl w:val="0"/>
          <w:numId w:val="40"/>
        </w:numPr>
        <w:spacing w:after="51"/>
      </w:pPr>
      <w:r>
        <w:t>Key differences between different variants of modules, particularly where they are used in the structures for courses with a January entry point or are also available in apprenticeship routes</w:t>
      </w:r>
    </w:p>
    <w:p w14:paraId="34E2BAEA" w14:textId="77777777" w:rsidR="00F720D0" w:rsidRPr="00D63611" w:rsidRDefault="00F720D0" w:rsidP="00F720D0">
      <w:pPr>
        <w:pStyle w:val="Default"/>
        <w:spacing w:after="51"/>
        <w:rPr>
          <w:highlight w:val="yellow"/>
        </w:rPr>
      </w:pPr>
    </w:p>
    <w:p w14:paraId="7A206302" w14:textId="4D46627F" w:rsidR="00F720D0" w:rsidRPr="00777E67" w:rsidRDefault="009102DE" w:rsidP="00F720D0">
      <w:r w:rsidRPr="00777E67">
        <w:t xml:space="preserve">For </w:t>
      </w:r>
      <w:r w:rsidRPr="00777E67">
        <w:rPr>
          <w:b/>
          <w:bCs/>
        </w:rPr>
        <w:t>new modules</w:t>
      </w:r>
      <w:r w:rsidRPr="00777E67">
        <w:t xml:space="preserve">, this information should be provided in </w:t>
      </w:r>
      <w:r w:rsidR="00777E67" w:rsidRPr="00777E67">
        <w:t xml:space="preserve">the </w:t>
      </w:r>
      <w:hyperlink r:id="rId20" w:history="1">
        <w:r w:rsidRPr="00777E67">
          <w:rPr>
            <w:rStyle w:val="Hyperlink"/>
          </w:rPr>
          <w:t>module proposal form</w:t>
        </w:r>
      </w:hyperlink>
      <w:r w:rsidRPr="00777E67">
        <w:t xml:space="preserve">, after discussion with your Faculty QUAD manager. </w:t>
      </w:r>
    </w:p>
    <w:p w14:paraId="16A1E547" w14:textId="35AFD883" w:rsidR="00D63611" w:rsidRPr="00DC471A" w:rsidRDefault="009102DE" w:rsidP="00DC471A">
      <w:r w:rsidRPr="00777E67">
        <w:t xml:space="preserve">For </w:t>
      </w:r>
      <w:r w:rsidRPr="00777E67">
        <w:rPr>
          <w:b/>
          <w:bCs/>
        </w:rPr>
        <w:t>changes to existing modules</w:t>
      </w:r>
      <w:r w:rsidRPr="00777E67">
        <w:t xml:space="preserve">, </w:t>
      </w:r>
      <w:r w:rsidR="00777E67">
        <w:t>this information</w:t>
      </w:r>
      <w:r w:rsidRPr="00777E67">
        <w:t xml:space="preserve"> should be provided via the Curriculum Update.</w:t>
      </w:r>
    </w:p>
    <w:p w14:paraId="01B1DA94" w14:textId="39E1510C" w:rsidR="0093412C" w:rsidRPr="001A70D2" w:rsidRDefault="00577264" w:rsidP="00DC471A">
      <w:pPr>
        <w:pStyle w:val="Heading4"/>
      </w:pPr>
      <w:bookmarkStart w:id="12" w:name="_Toc149829135"/>
      <w:r w:rsidRPr="001A70D2">
        <w:lastRenderedPageBreak/>
        <w:t>Other things to consider</w:t>
      </w:r>
      <w:bookmarkEnd w:id="12"/>
    </w:p>
    <w:p w14:paraId="1F1B096E" w14:textId="5D69F775" w:rsidR="0093412C" w:rsidRPr="001A70D2" w:rsidRDefault="0093412C" w:rsidP="0093412C">
      <w:pPr>
        <w:pStyle w:val="ListParagraph"/>
        <w:numPr>
          <w:ilvl w:val="0"/>
          <w:numId w:val="43"/>
        </w:numPr>
      </w:pPr>
      <w:r w:rsidRPr="001A70D2">
        <w:t xml:space="preserve">Expected funding sources, noting when two or more variants of the same course are funded differently </w:t>
      </w:r>
    </w:p>
    <w:p w14:paraId="679F0F3F" w14:textId="560E6C0A" w:rsidR="0093412C" w:rsidRPr="00DC471A" w:rsidRDefault="0093412C" w:rsidP="0093412C">
      <w:pPr>
        <w:pStyle w:val="ListParagraph"/>
        <w:numPr>
          <w:ilvl w:val="0"/>
          <w:numId w:val="43"/>
        </w:numPr>
        <w:rPr>
          <w:b/>
          <w:bCs/>
        </w:rPr>
      </w:pPr>
      <w:r w:rsidRPr="001A70D2">
        <w:t>Any characteristics of expected students that may impact on the support or services they need or are able to access (</w:t>
      </w:r>
      <w:r w:rsidR="00777E67" w:rsidRPr="001A70D2">
        <w:t>e.g.,</w:t>
      </w:r>
      <w:r w:rsidRPr="001A70D2">
        <w:t xml:space="preserve"> part-time, international, work-based learning</w:t>
      </w:r>
      <w:r w:rsidR="00777E67" w:rsidRPr="001A70D2">
        <w:t>, apprenticeship</w:t>
      </w:r>
      <w:r w:rsidRPr="001A70D2">
        <w:t xml:space="preserve">) </w:t>
      </w:r>
    </w:p>
    <w:p w14:paraId="7B8424D0" w14:textId="191A9AE5" w:rsidR="006C7B1B" w:rsidRPr="001A70D2" w:rsidRDefault="0093412C" w:rsidP="00DC471A">
      <w:pPr>
        <w:pStyle w:val="Heading3"/>
      </w:pPr>
      <w:bookmarkStart w:id="13" w:name="_Toc149829136"/>
      <w:r w:rsidRPr="001A70D2">
        <w:t>Where to go for more information</w:t>
      </w:r>
      <w:bookmarkEnd w:id="13"/>
    </w:p>
    <w:p w14:paraId="1785452A" w14:textId="77777777" w:rsidR="006C7B1B" w:rsidRPr="001A70D2" w:rsidRDefault="006C7B1B" w:rsidP="006C7B1B">
      <w:r w:rsidRPr="001A70D2">
        <w:t xml:space="preserve">Individual teams will be able and willing to advise on any specific issues that might arise from course-specific term dates (see the contact details on the previous page). </w:t>
      </w:r>
    </w:p>
    <w:p w14:paraId="6EBB0AA3" w14:textId="03104738" w:rsidR="006C7B1B" w:rsidRPr="001A70D2" w:rsidRDefault="006C7B1B" w:rsidP="006C7B1B">
      <w:r w:rsidRPr="001A70D2">
        <w:t xml:space="preserve">Your Faculty Quality and Academic Development Manager will be able to advise on all areas of course development and you should consult with them from the earliest stage of considering a new course. Contact them directly or email </w:t>
      </w:r>
      <w:hyperlink r:id="rId21" w:history="1">
        <w:r w:rsidRPr="001A70D2">
          <w:rPr>
            <w:rStyle w:val="Hyperlink"/>
          </w:rPr>
          <w:t>quad@essex.ac.uk</w:t>
        </w:r>
      </w:hyperlink>
      <w:r w:rsidRPr="001A70D2">
        <w:rPr>
          <w:color w:val="B332FF"/>
        </w:rPr>
        <w:t xml:space="preserve"> </w:t>
      </w:r>
      <w:r w:rsidRPr="001A70D2">
        <w:t xml:space="preserve">for more information. </w:t>
      </w:r>
    </w:p>
    <w:p w14:paraId="5381CE10" w14:textId="4F552394" w:rsidR="00257194" w:rsidRDefault="006C7B1B" w:rsidP="006C7B1B">
      <w:r w:rsidRPr="001A70D2">
        <w:t xml:space="preserve">There is further guidance on all aspects of course design, </w:t>
      </w:r>
      <w:r w:rsidR="001A70D2" w:rsidRPr="001A70D2">
        <w:t>approval,</w:t>
      </w:r>
      <w:r w:rsidRPr="001A70D2">
        <w:t xml:space="preserve"> and modification available on the Quality and Academic Development </w:t>
      </w:r>
      <w:hyperlink r:id="rId22" w:history="1">
        <w:r w:rsidRPr="001A70D2">
          <w:rPr>
            <w:rStyle w:val="Hyperlink"/>
          </w:rPr>
          <w:t>webpages</w:t>
        </w:r>
      </w:hyperlink>
      <w:r w:rsidR="001A70D2" w:rsidRPr="001A70D2">
        <w:t>.</w:t>
      </w:r>
    </w:p>
    <w:p w14:paraId="1042D3AA" w14:textId="77777777" w:rsidR="001A70D2" w:rsidRPr="001A70D2" w:rsidRDefault="001A70D2" w:rsidP="006C7B1B"/>
    <w:tbl>
      <w:tblPr>
        <w:tblStyle w:val="TableGrid"/>
        <w:tblW w:w="10910" w:type="dxa"/>
        <w:tblLook w:val="04A0" w:firstRow="1" w:lastRow="0" w:firstColumn="1" w:lastColumn="0" w:noHBand="0" w:noVBand="1"/>
      </w:tblPr>
      <w:tblGrid>
        <w:gridCol w:w="3397"/>
        <w:gridCol w:w="7513"/>
      </w:tblGrid>
      <w:tr w:rsidR="005E73C6" w:rsidRPr="00417371" w14:paraId="6D4A0112" w14:textId="77777777" w:rsidTr="001A70D2">
        <w:trPr>
          <w:cnfStyle w:val="100000000000" w:firstRow="1" w:lastRow="0" w:firstColumn="0" w:lastColumn="0" w:oddVBand="0" w:evenVBand="0" w:oddHBand="0" w:evenHBand="0" w:firstRowFirstColumn="0" w:firstRowLastColumn="0" w:lastRowFirstColumn="0" w:lastRowLastColumn="0"/>
          <w:trHeight w:val="289"/>
        </w:trPr>
        <w:tc>
          <w:tcPr>
            <w:tcW w:w="3397" w:type="dxa"/>
            <w:vAlign w:val="top"/>
          </w:tcPr>
          <w:p w14:paraId="2B3DA901" w14:textId="77777777" w:rsidR="005E73C6" w:rsidRPr="005E73C6" w:rsidRDefault="005E73C6" w:rsidP="005E73C6">
            <w:pPr>
              <w:rPr>
                <w:rFonts w:ascii="Arial" w:hAnsi="Arial" w:cs="Arial"/>
                <w:b/>
                <w:color w:val="FFFFFF" w:themeColor="background1"/>
              </w:rPr>
            </w:pPr>
            <w:r w:rsidRPr="005E73C6">
              <w:rPr>
                <w:rFonts w:ascii="Arial" w:hAnsi="Arial" w:cs="Arial"/>
                <w:b/>
                <w:color w:val="FFFFFF" w:themeColor="background1"/>
              </w:rPr>
              <w:t>Document owner</w:t>
            </w:r>
          </w:p>
        </w:tc>
        <w:tc>
          <w:tcPr>
            <w:tcW w:w="7513" w:type="dxa"/>
            <w:vAlign w:val="top"/>
          </w:tcPr>
          <w:p w14:paraId="7789673A" w14:textId="77777777" w:rsidR="005E73C6" w:rsidRPr="005E73C6" w:rsidRDefault="005E73C6" w:rsidP="005E73C6">
            <w:pPr>
              <w:rPr>
                <w:rFonts w:ascii="Arial" w:hAnsi="Arial" w:cs="Arial"/>
                <w:color w:val="FFFFFF" w:themeColor="background1"/>
              </w:rPr>
            </w:pPr>
            <w:r w:rsidRPr="005E73C6">
              <w:rPr>
                <w:rFonts w:ascii="Arial" w:hAnsi="Arial" w:cs="Arial"/>
                <w:color w:val="FFFFFF" w:themeColor="background1"/>
              </w:rPr>
              <w:t>Quality and Academic Development</w:t>
            </w:r>
          </w:p>
        </w:tc>
      </w:tr>
      <w:tr w:rsidR="005E73C6" w:rsidRPr="00417371" w14:paraId="47359F3C" w14:textId="77777777" w:rsidTr="001A70D2">
        <w:trPr>
          <w:trHeight w:val="476"/>
        </w:trPr>
        <w:tc>
          <w:tcPr>
            <w:tcW w:w="3397" w:type="dxa"/>
            <w:vAlign w:val="top"/>
          </w:tcPr>
          <w:p w14:paraId="4B180A0C" w14:textId="77777777" w:rsidR="005E73C6" w:rsidRPr="00417371" w:rsidRDefault="005E73C6" w:rsidP="005E73C6">
            <w:pPr>
              <w:rPr>
                <w:rFonts w:ascii="Arial" w:hAnsi="Arial" w:cs="Arial"/>
                <w:b/>
              </w:rPr>
            </w:pPr>
            <w:r w:rsidRPr="00417371">
              <w:rPr>
                <w:rFonts w:ascii="Arial" w:hAnsi="Arial" w:cs="Arial"/>
                <w:b/>
              </w:rPr>
              <w:t>Document author</w:t>
            </w:r>
          </w:p>
        </w:tc>
        <w:tc>
          <w:tcPr>
            <w:tcW w:w="7513" w:type="dxa"/>
            <w:vAlign w:val="top"/>
          </w:tcPr>
          <w:p w14:paraId="74464799" w14:textId="77777777" w:rsidR="005E73C6" w:rsidRPr="00417371" w:rsidRDefault="005E73C6" w:rsidP="005E73C6">
            <w:pPr>
              <w:rPr>
                <w:rFonts w:ascii="Arial" w:hAnsi="Arial" w:cs="Arial"/>
              </w:rPr>
            </w:pPr>
            <w:r w:rsidRPr="00417371">
              <w:rPr>
                <w:rFonts w:ascii="Arial" w:hAnsi="Arial" w:cs="Arial"/>
              </w:rPr>
              <w:t>Quality and Academic Development</w:t>
            </w:r>
          </w:p>
        </w:tc>
      </w:tr>
      <w:tr w:rsidR="005E73C6" w:rsidRPr="00417371" w14:paraId="6427DE50" w14:textId="77777777" w:rsidTr="001A70D2">
        <w:trPr>
          <w:trHeight w:val="428"/>
        </w:trPr>
        <w:tc>
          <w:tcPr>
            <w:tcW w:w="3397" w:type="dxa"/>
            <w:vAlign w:val="top"/>
          </w:tcPr>
          <w:p w14:paraId="6F2A94F0" w14:textId="77777777" w:rsidR="005E73C6" w:rsidRPr="00417371" w:rsidRDefault="005E73C6" w:rsidP="005E73C6">
            <w:pPr>
              <w:rPr>
                <w:rFonts w:ascii="Arial" w:hAnsi="Arial" w:cs="Arial"/>
                <w:b/>
              </w:rPr>
            </w:pPr>
            <w:r w:rsidRPr="00417371">
              <w:rPr>
                <w:rFonts w:ascii="Arial" w:hAnsi="Arial" w:cs="Arial"/>
                <w:b/>
              </w:rPr>
              <w:t>Document last reviewed by</w:t>
            </w:r>
          </w:p>
        </w:tc>
        <w:tc>
          <w:tcPr>
            <w:tcW w:w="7513" w:type="dxa"/>
            <w:vAlign w:val="top"/>
          </w:tcPr>
          <w:p w14:paraId="4FA0BAB7" w14:textId="77777777" w:rsidR="005E73C6" w:rsidRPr="00417371" w:rsidRDefault="005E73C6" w:rsidP="005E73C6">
            <w:pPr>
              <w:rPr>
                <w:rFonts w:ascii="Arial" w:hAnsi="Arial" w:cs="Arial"/>
              </w:rPr>
            </w:pPr>
            <w:r>
              <w:rPr>
                <w:rFonts w:ascii="Arial" w:hAnsi="Arial" w:cs="Arial"/>
              </w:rPr>
              <w:t>Aminah Suhail, Quality and Academic Development Manager</w:t>
            </w:r>
          </w:p>
        </w:tc>
      </w:tr>
      <w:tr w:rsidR="005E73C6" w:rsidRPr="00417371" w14:paraId="1763956D" w14:textId="77777777" w:rsidTr="001A70D2">
        <w:trPr>
          <w:trHeight w:val="289"/>
        </w:trPr>
        <w:tc>
          <w:tcPr>
            <w:tcW w:w="3397" w:type="dxa"/>
            <w:vAlign w:val="top"/>
          </w:tcPr>
          <w:p w14:paraId="6888891D" w14:textId="77777777" w:rsidR="005E73C6" w:rsidRPr="00417371" w:rsidRDefault="005E73C6" w:rsidP="005E73C6">
            <w:pPr>
              <w:rPr>
                <w:rFonts w:ascii="Arial" w:hAnsi="Arial" w:cs="Arial"/>
                <w:b/>
              </w:rPr>
            </w:pPr>
            <w:r w:rsidRPr="00417371">
              <w:rPr>
                <w:rFonts w:ascii="Arial" w:hAnsi="Arial" w:cs="Arial"/>
                <w:b/>
              </w:rPr>
              <w:t>Date last reviewed</w:t>
            </w:r>
          </w:p>
        </w:tc>
        <w:tc>
          <w:tcPr>
            <w:tcW w:w="7513" w:type="dxa"/>
            <w:vAlign w:val="top"/>
          </w:tcPr>
          <w:p w14:paraId="59010682" w14:textId="50BCA8B6" w:rsidR="005E73C6" w:rsidRPr="00417371" w:rsidRDefault="0053085F" w:rsidP="005E73C6">
            <w:pPr>
              <w:rPr>
                <w:rFonts w:ascii="Arial" w:hAnsi="Arial" w:cs="Arial"/>
              </w:rPr>
            </w:pPr>
            <w:r>
              <w:rPr>
                <w:rFonts w:ascii="Arial" w:hAnsi="Arial" w:cs="Arial"/>
              </w:rPr>
              <w:t>July 2025</w:t>
            </w:r>
          </w:p>
        </w:tc>
      </w:tr>
      <w:tr w:rsidR="005E73C6" w:rsidRPr="00417371" w14:paraId="048FD49D" w14:textId="77777777" w:rsidTr="001A70D2">
        <w:trPr>
          <w:trHeight w:val="346"/>
        </w:trPr>
        <w:tc>
          <w:tcPr>
            <w:tcW w:w="3397" w:type="dxa"/>
            <w:vAlign w:val="top"/>
          </w:tcPr>
          <w:p w14:paraId="62683529" w14:textId="77777777" w:rsidR="005E73C6" w:rsidRPr="00417371" w:rsidRDefault="005E73C6" w:rsidP="005E73C6">
            <w:pPr>
              <w:rPr>
                <w:rFonts w:ascii="Arial" w:hAnsi="Arial" w:cs="Arial"/>
                <w:b/>
              </w:rPr>
            </w:pPr>
            <w:r w:rsidRPr="00417371">
              <w:rPr>
                <w:rFonts w:ascii="Arial" w:hAnsi="Arial" w:cs="Arial"/>
                <w:b/>
              </w:rPr>
              <w:t>Review frequency</w:t>
            </w:r>
          </w:p>
        </w:tc>
        <w:tc>
          <w:tcPr>
            <w:tcW w:w="7513" w:type="dxa"/>
            <w:vAlign w:val="top"/>
          </w:tcPr>
          <w:p w14:paraId="52CC596F" w14:textId="77777777" w:rsidR="005E73C6" w:rsidRPr="00417371" w:rsidRDefault="005E73C6" w:rsidP="005E73C6">
            <w:pPr>
              <w:rPr>
                <w:rFonts w:ascii="Arial" w:hAnsi="Arial" w:cs="Arial"/>
              </w:rPr>
            </w:pPr>
            <w:r w:rsidRPr="00417371">
              <w:rPr>
                <w:rFonts w:ascii="Arial" w:hAnsi="Arial" w:cs="Arial"/>
              </w:rPr>
              <w:t>Annually</w:t>
            </w:r>
          </w:p>
        </w:tc>
      </w:tr>
    </w:tbl>
    <w:p w14:paraId="0D0D5B89" w14:textId="77777777" w:rsidR="00257194" w:rsidRPr="006F6CF1" w:rsidRDefault="00257194" w:rsidP="006C7B1B"/>
    <w:sectPr w:rsidR="00257194" w:rsidRPr="006F6CF1" w:rsidSect="00905A53">
      <w:pgSz w:w="11906" w:h="16838"/>
      <w:pgMar w:top="680" w:right="454" w:bottom="816"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09C6B" w14:textId="77777777" w:rsidR="004F3ACC" w:rsidRDefault="004F3ACC" w:rsidP="0040118A">
      <w:pPr>
        <w:spacing w:line="240" w:lineRule="auto"/>
      </w:pPr>
      <w:r>
        <w:separator/>
      </w:r>
    </w:p>
    <w:p w14:paraId="734D6666" w14:textId="77777777" w:rsidR="004F3ACC" w:rsidRDefault="004F3ACC"/>
  </w:endnote>
  <w:endnote w:type="continuationSeparator" w:id="0">
    <w:p w14:paraId="699EAAC7" w14:textId="77777777" w:rsidR="004F3ACC" w:rsidRDefault="004F3ACC" w:rsidP="0040118A">
      <w:pPr>
        <w:spacing w:line="240" w:lineRule="auto"/>
      </w:pPr>
      <w:r>
        <w:continuationSeparator/>
      </w:r>
    </w:p>
    <w:p w14:paraId="070A964C" w14:textId="77777777" w:rsidR="004F3ACC" w:rsidRDefault="004F3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407421"/>
      <w:docPartObj>
        <w:docPartGallery w:val="Page Numbers (Bottom of Page)"/>
        <w:docPartUnique/>
      </w:docPartObj>
    </w:sdtPr>
    <w:sdtEndPr>
      <w:rPr>
        <w:noProof/>
      </w:rPr>
    </w:sdtEndPr>
    <w:sdtContent>
      <w:p w14:paraId="406BDBD4" w14:textId="3FCA1048" w:rsidR="00627271" w:rsidRPr="001A70D2" w:rsidRDefault="001A70D2" w:rsidP="001A70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5D1C6" w14:textId="77777777" w:rsidR="004F3ACC" w:rsidRDefault="004F3ACC" w:rsidP="0040118A">
      <w:pPr>
        <w:spacing w:line="240" w:lineRule="auto"/>
      </w:pPr>
      <w:r>
        <w:separator/>
      </w:r>
    </w:p>
    <w:p w14:paraId="38FD98E8" w14:textId="77777777" w:rsidR="004F3ACC" w:rsidRDefault="004F3ACC"/>
  </w:footnote>
  <w:footnote w:type="continuationSeparator" w:id="0">
    <w:p w14:paraId="6E8AA4E5" w14:textId="77777777" w:rsidR="004F3ACC" w:rsidRDefault="004F3ACC" w:rsidP="0040118A">
      <w:pPr>
        <w:spacing w:line="240" w:lineRule="auto"/>
      </w:pPr>
      <w:r>
        <w:continuationSeparator/>
      </w:r>
    </w:p>
    <w:p w14:paraId="57E4D8CE" w14:textId="77777777" w:rsidR="004F3ACC" w:rsidRDefault="004F3A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3B7BD8"/>
    <w:multiLevelType w:val="hybridMultilevel"/>
    <w:tmpl w:val="6A2E0566"/>
    <w:lvl w:ilvl="0" w:tplc="6F56C392">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C70A93"/>
    <w:multiLevelType w:val="hybridMultilevel"/>
    <w:tmpl w:val="9B06D7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A01FEA"/>
    <w:multiLevelType w:val="hybridMultilevel"/>
    <w:tmpl w:val="55204800"/>
    <w:lvl w:ilvl="0" w:tplc="8A9C1B4C">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95787"/>
    <w:multiLevelType w:val="hybridMultilevel"/>
    <w:tmpl w:val="3FEEF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7166A6"/>
    <w:multiLevelType w:val="multilevel"/>
    <w:tmpl w:val="27BE1B9A"/>
    <w:numStyleLink w:val="ArticleSection"/>
  </w:abstractNum>
  <w:abstractNum w:abstractNumId="35"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635898">
    <w:abstractNumId w:val="0"/>
  </w:num>
  <w:num w:numId="2" w16cid:durableId="1864786001">
    <w:abstractNumId w:val="1"/>
  </w:num>
  <w:num w:numId="3" w16cid:durableId="2100641482">
    <w:abstractNumId w:val="2"/>
  </w:num>
  <w:num w:numId="4" w16cid:durableId="1443500938">
    <w:abstractNumId w:val="6"/>
  </w:num>
  <w:num w:numId="5" w16cid:durableId="589654198">
    <w:abstractNumId w:val="8"/>
  </w:num>
  <w:num w:numId="6" w16cid:durableId="1908874890">
    <w:abstractNumId w:val="16"/>
  </w:num>
  <w:num w:numId="7" w16cid:durableId="1192497568">
    <w:abstractNumId w:val="35"/>
  </w:num>
  <w:num w:numId="8" w16cid:durableId="562909362">
    <w:abstractNumId w:val="11"/>
  </w:num>
  <w:num w:numId="9" w16cid:durableId="1693219897">
    <w:abstractNumId w:val="34"/>
  </w:num>
  <w:num w:numId="10" w16cid:durableId="1145976370">
    <w:abstractNumId w:val="13"/>
  </w:num>
  <w:num w:numId="11" w16cid:durableId="1637296413">
    <w:abstractNumId w:val="27"/>
  </w:num>
  <w:num w:numId="12" w16cid:durableId="730811965">
    <w:abstractNumId w:val="3"/>
  </w:num>
  <w:num w:numId="13" w16cid:durableId="1319190597">
    <w:abstractNumId w:val="4"/>
  </w:num>
  <w:num w:numId="14" w16cid:durableId="1182084708">
    <w:abstractNumId w:val="5"/>
  </w:num>
  <w:num w:numId="15" w16cid:durableId="169174703">
    <w:abstractNumId w:val="15"/>
  </w:num>
  <w:num w:numId="16" w16cid:durableId="462582123">
    <w:abstractNumId w:val="38"/>
  </w:num>
  <w:num w:numId="17" w16cid:durableId="1088887802">
    <w:abstractNumId w:val="14"/>
  </w:num>
  <w:num w:numId="18" w16cid:durableId="2065718995">
    <w:abstractNumId w:val="17"/>
  </w:num>
  <w:num w:numId="19" w16cid:durableId="602422413">
    <w:abstractNumId w:val="20"/>
  </w:num>
  <w:num w:numId="20" w16cid:durableId="241567962">
    <w:abstractNumId w:val="33"/>
  </w:num>
  <w:num w:numId="21" w16cid:durableId="134182007">
    <w:abstractNumId w:val="7"/>
  </w:num>
  <w:num w:numId="22" w16cid:durableId="2039546209">
    <w:abstractNumId w:val="22"/>
  </w:num>
  <w:num w:numId="23" w16cid:durableId="1140000717">
    <w:abstractNumId w:val="18"/>
  </w:num>
  <w:num w:numId="24" w16cid:durableId="1789734578">
    <w:abstractNumId w:val="21"/>
  </w:num>
  <w:num w:numId="25" w16cid:durableId="646664962">
    <w:abstractNumId w:val="40"/>
  </w:num>
  <w:num w:numId="26" w16cid:durableId="1839804904">
    <w:abstractNumId w:val="19"/>
  </w:num>
  <w:num w:numId="27" w16cid:durableId="1608805054">
    <w:abstractNumId w:val="26"/>
  </w:num>
  <w:num w:numId="28" w16cid:durableId="243878458">
    <w:abstractNumId w:val="42"/>
  </w:num>
  <w:num w:numId="29" w16cid:durableId="1087772035">
    <w:abstractNumId w:val="9"/>
  </w:num>
  <w:num w:numId="30" w16cid:durableId="1850634103">
    <w:abstractNumId w:val="28"/>
  </w:num>
  <w:num w:numId="31" w16cid:durableId="759178586">
    <w:abstractNumId w:val="29"/>
  </w:num>
  <w:num w:numId="32" w16cid:durableId="1549489500">
    <w:abstractNumId w:val="12"/>
  </w:num>
  <w:num w:numId="33" w16cid:durableId="1771199566">
    <w:abstractNumId w:val="32"/>
  </w:num>
  <w:num w:numId="34" w16cid:durableId="806700654">
    <w:abstractNumId w:val="39"/>
  </w:num>
  <w:num w:numId="35" w16cid:durableId="1453671840">
    <w:abstractNumId w:val="23"/>
  </w:num>
  <w:num w:numId="36" w16cid:durableId="534319682">
    <w:abstractNumId w:val="37"/>
  </w:num>
  <w:num w:numId="37" w16cid:durableId="420028320">
    <w:abstractNumId w:val="41"/>
  </w:num>
  <w:num w:numId="38" w16cid:durableId="927233799">
    <w:abstractNumId w:val="10"/>
  </w:num>
  <w:num w:numId="39" w16cid:durableId="494495844">
    <w:abstractNumId w:val="36"/>
  </w:num>
  <w:num w:numId="40" w16cid:durableId="1010448011">
    <w:abstractNumId w:val="24"/>
  </w:num>
  <w:num w:numId="41" w16cid:durableId="1802461379">
    <w:abstractNumId w:val="30"/>
  </w:num>
  <w:num w:numId="42" w16cid:durableId="583804691">
    <w:abstractNumId w:val="25"/>
  </w:num>
  <w:num w:numId="43" w16cid:durableId="677924420">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colormru v:ext="edit" colors="#333"/>
      <o:colormenu v:ext="edit" fillcolor="#3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63"/>
    <w:rsid w:val="000037DB"/>
    <w:rsid w:val="0001561C"/>
    <w:rsid w:val="00020F80"/>
    <w:rsid w:val="0002549D"/>
    <w:rsid w:val="00026387"/>
    <w:rsid w:val="00034E4B"/>
    <w:rsid w:val="00043ED3"/>
    <w:rsid w:val="00045C84"/>
    <w:rsid w:val="000502F5"/>
    <w:rsid w:val="00051F2E"/>
    <w:rsid w:val="000569E2"/>
    <w:rsid w:val="00065605"/>
    <w:rsid w:val="00070992"/>
    <w:rsid w:val="000872AB"/>
    <w:rsid w:val="00096EAB"/>
    <w:rsid w:val="000B06EB"/>
    <w:rsid w:val="000C401F"/>
    <w:rsid w:val="000C6A83"/>
    <w:rsid w:val="000D1F39"/>
    <w:rsid w:val="000E45EC"/>
    <w:rsid w:val="000F45BC"/>
    <w:rsid w:val="00110C21"/>
    <w:rsid w:val="00117538"/>
    <w:rsid w:val="001408C7"/>
    <w:rsid w:val="00145263"/>
    <w:rsid w:val="0015507E"/>
    <w:rsid w:val="00155CD0"/>
    <w:rsid w:val="00156490"/>
    <w:rsid w:val="00165B99"/>
    <w:rsid w:val="001833DE"/>
    <w:rsid w:val="00185DD1"/>
    <w:rsid w:val="001A70D2"/>
    <w:rsid w:val="001B0DE8"/>
    <w:rsid w:val="001B0F43"/>
    <w:rsid w:val="001C53CC"/>
    <w:rsid w:val="001D415A"/>
    <w:rsid w:val="001D4678"/>
    <w:rsid w:val="001E273C"/>
    <w:rsid w:val="001F64DC"/>
    <w:rsid w:val="00210E2B"/>
    <w:rsid w:val="0021288B"/>
    <w:rsid w:val="0021646D"/>
    <w:rsid w:val="002257D4"/>
    <w:rsid w:val="00236A02"/>
    <w:rsid w:val="002374B1"/>
    <w:rsid w:val="00257194"/>
    <w:rsid w:val="00257195"/>
    <w:rsid w:val="00261342"/>
    <w:rsid w:val="00265DB5"/>
    <w:rsid w:val="002743A6"/>
    <w:rsid w:val="002912B9"/>
    <w:rsid w:val="002D1777"/>
    <w:rsid w:val="002D1A35"/>
    <w:rsid w:val="002D38E8"/>
    <w:rsid w:val="002E4FAD"/>
    <w:rsid w:val="002F67D3"/>
    <w:rsid w:val="002F7263"/>
    <w:rsid w:val="0031323D"/>
    <w:rsid w:val="003210E6"/>
    <w:rsid w:val="00321159"/>
    <w:rsid w:val="003239A1"/>
    <w:rsid w:val="0032497D"/>
    <w:rsid w:val="00325E40"/>
    <w:rsid w:val="00357CF6"/>
    <w:rsid w:val="00362108"/>
    <w:rsid w:val="003659FC"/>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22651"/>
    <w:rsid w:val="004333DD"/>
    <w:rsid w:val="00440365"/>
    <w:rsid w:val="0044093C"/>
    <w:rsid w:val="00447863"/>
    <w:rsid w:val="00454099"/>
    <w:rsid w:val="00460061"/>
    <w:rsid w:val="00485574"/>
    <w:rsid w:val="0049059B"/>
    <w:rsid w:val="0049595E"/>
    <w:rsid w:val="004B0164"/>
    <w:rsid w:val="004B48D9"/>
    <w:rsid w:val="004C6604"/>
    <w:rsid w:val="004D3AAA"/>
    <w:rsid w:val="004D7260"/>
    <w:rsid w:val="004F3ACC"/>
    <w:rsid w:val="005121E1"/>
    <w:rsid w:val="00520020"/>
    <w:rsid w:val="00521CF4"/>
    <w:rsid w:val="00522148"/>
    <w:rsid w:val="0052409A"/>
    <w:rsid w:val="0053085F"/>
    <w:rsid w:val="00534CED"/>
    <w:rsid w:val="0053508A"/>
    <w:rsid w:val="00540E68"/>
    <w:rsid w:val="00544991"/>
    <w:rsid w:val="0054737B"/>
    <w:rsid w:val="005607AE"/>
    <w:rsid w:val="00577264"/>
    <w:rsid w:val="00582129"/>
    <w:rsid w:val="00591417"/>
    <w:rsid w:val="00595C57"/>
    <w:rsid w:val="005965B3"/>
    <w:rsid w:val="005A5F71"/>
    <w:rsid w:val="005B42C6"/>
    <w:rsid w:val="005E73C6"/>
    <w:rsid w:val="006023F0"/>
    <w:rsid w:val="00613E85"/>
    <w:rsid w:val="006146B7"/>
    <w:rsid w:val="00627271"/>
    <w:rsid w:val="0062736C"/>
    <w:rsid w:val="00627F10"/>
    <w:rsid w:val="00635687"/>
    <w:rsid w:val="006406EC"/>
    <w:rsid w:val="00640CAF"/>
    <w:rsid w:val="006433B5"/>
    <w:rsid w:val="0064570D"/>
    <w:rsid w:val="0065088E"/>
    <w:rsid w:val="00654F40"/>
    <w:rsid w:val="006575E8"/>
    <w:rsid w:val="00666768"/>
    <w:rsid w:val="00671082"/>
    <w:rsid w:val="00671F29"/>
    <w:rsid w:val="00692A84"/>
    <w:rsid w:val="006A1F63"/>
    <w:rsid w:val="006A3813"/>
    <w:rsid w:val="006B3C3A"/>
    <w:rsid w:val="006C00CA"/>
    <w:rsid w:val="006C65CA"/>
    <w:rsid w:val="006C7B1B"/>
    <w:rsid w:val="006E2163"/>
    <w:rsid w:val="006E7B55"/>
    <w:rsid w:val="006F2788"/>
    <w:rsid w:val="006F6CF1"/>
    <w:rsid w:val="006F7417"/>
    <w:rsid w:val="00702552"/>
    <w:rsid w:val="0070267E"/>
    <w:rsid w:val="00720556"/>
    <w:rsid w:val="007336AD"/>
    <w:rsid w:val="007356A4"/>
    <w:rsid w:val="00740776"/>
    <w:rsid w:val="00747B55"/>
    <w:rsid w:val="007564FB"/>
    <w:rsid w:val="007662D2"/>
    <w:rsid w:val="00767B05"/>
    <w:rsid w:val="00773A32"/>
    <w:rsid w:val="00777E67"/>
    <w:rsid w:val="007A39B5"/>
    <w:rsid w:val="007C30D6"/>
    <w:rsid w:val="007C3563"/>
    <w:rsid w:val="007C3862"/>
    <w:rsid w:val="007C753C"/>
    <w:rsid w:val="007C7E98"/>
    <w:rsid w:val="007D0B60"/>
    <w:rsid w:val="007D294F"/>
    <w:rsid w:val="007D7033"/>
    <w:rsid w:val="007E7E81"/>
    <w:rsid w:val="007F02F0"/>
    <w:rsid w:val="007F34C5"/>
    <w:rsid w:val="008272FB"/>
    <w:rsid w:val="008301C8"/>
    <w:rsid w:val="0084639D"/>
    <w:rsid w:val="00860862"/>
    <w:rsid w:val="00863A02"/>
    <w:rsid w:val="00871C60"/>
    <w:rsid w:val="00873700"/>
    <w:rsid w:val="008920C0"/>
    <w:rsid w:val="008A3C33"/>
    <w:rsid w:val="008C5C93"/>
    <w:rsid w:val="008E7712"/>
    <w:rsid w:val="008F4F0B"/>
    <w:rsid w:val="008F5827"/>
    <w:rsid w:val="009005BC"/>
    <w:rsid w:val="00905A53"/>
    <w:rsid w:val="009102DE"/>
    <w:rsid w:val="0091187C"/>
    <w:rsid w:val="0093412C"/>
    <w:rsid w:val="00936923"/>
    <w:rsid w:val="00936CE0"/>
    <w:rsid w:val="00946C0F"/>
    <w:rsid w:val="00952C6F"/>
    <w:rsid w:val="00970956"/>
    <w:rsid w:val="00980454"/>
    <w:rsid w:val="009A1B2C"/>
    <w:rsid w:val="009B38EC"/>
    <w:rsid w:val="009B40E5"/>
    <w:rsid w:val="009C608D"/>
    <w:rsid w:val="009C6F49"/>
    <w:rsid w:val="009D2E43"/>
    <w:rsid w:val="009D51BA"/>
    <w:rsid w:val="009D6BFF"/>
    <w:rsid w:val="009E3A2B"/>
    <w:rsid w:val="00A0235F"/>
    <w:rsid w:val="00A24601"/>
    <w:rsid w:val="00A2698B"/>
    <w:rsid w:val="00A335E1"/>
    <w:rsid w:val="00A357E2"/>
    <w:rsid w:val="00A429D5"/>
    <w:rsid w:val="00A476C9"/>
    <w:rsid w:val="00A5361C"/>
    <w:rsid w:val="00A618B6"/>
    <w:rsid w:val="00A72AF3"/>
    <w:rsid w:val="00A75123"/>
    <w:rsid w:val="00A776F7"/>
    <w:rsid w:val="00A820BD"/>
    <w:rsid w:val="00A92782"/>
    <w:rsid w:val="00A95B46"/>
    <w:rsid w:val="00AB21B1"/>
    <w:rsid w:val="00AB2963"/>
    <w:rsid w:val="00AD1FBE"/>
    <w:rsid w:val="00AE05EE"/>
    <w:rsid w:val="00B00972"/>
    <w:rsid w:val="00B10523"/>
    <w:rsid w:val="00B37472"/>
    <w:rsid w:val="00B4103E"/>
    <w:rsid w:val="00B47A6F"/>
    <w:rsid w:val="00B5488F"/>
    <w:rsid w:val="00B615E3"/>
    <w:rsid w:val="00B667E0"/>
    <w:rsid w:val="00B9605F"/>
    <w:rsid w:val="00B97201"/>
    <w:rsid w:val="00BB2B7E"/>
    <w:rsid w:val="00BB733C"/>
    <w:rsid w:val="00BD6BA2"/>
    <w:rsid w:val="00C00506"/>
    <w:rsid w:val="00C17F8A"/>
    <w:rsid w:val="00C34D34"/>
    <w:rsid w:val="00C34F6C"/>
    <w:rsid w:val="00C361B8"/>
    <w:rsid w:val="00C45BE5"/>
    <w:rsid w:val="00C638BF"/>
    <w:rsid w:val="00C726F0"/>
    <w:rsid w:val="00C82D9D"/>
    <w:rsid w:val="00CA4FCF"/>
    <w:rsid w:val="00CD3F80"/>
    <w:rsid w:val="00CE29FF"/>
    <w:rsid w:val="00D048ED"/>
    <w:rsid w:val="00D05A29"/>
    <w:rsid w:val="00D31AC1"/>
    <w:rsid w:val="00D52D5F"/>
    <w:rsid w:val="00D63611"/>
    <w:rsid w:val="00D63BC2"/>
    <w:rsid w:val="00D75974"/>
    <w:rsid w:val="00D77B75"/>
    <w:rsid w:val="00D84E4F"/>
    <w:rsid w:val="00D86FD4"/>
    <w:rsid w:val="00D94804"/>
    <w:rsid w:val="00D96FE5"/>
    <w:rsid w:val="00DC3829"/>
    <w:rsid w:val="00DC471A"/>
    <w:rsid w:val="00DE1444"/>
    <w:rsid w:val="00DE6EAF"/>
    <w:rsid w:val="00E02F0B"/>
    <w:rsid w:val="00E05033"/>
    <w:rsid w:val="00E06C31"/>
    <w:rsid w:val="00E23B99"/>
    <w:rsid w:val="00E2600B"/>
    <w:rsid w:val="00E31D9F"/>
    <w:rsid w:val="00E40155"/>
    <w:rsid w:val="00E41AAC"/>
    <w:rsid w:val="00E41E1E"/>
    <w:rsid w:val="00E46627"/>
    <w:rsid w:val="00E47C32"/>
    <w:rsid w:val="00E52317"/>
    <w:rsid w:val="00E67A53"/>
    <w:rsid w:val="00E804EC"/>
    <w:rsid w:val="00E87E82"/>
    <w:rsid w:val="00EA00F0"/>
    <w:rsid w:val="00EB20E5"/>
    <w:rsid w:val="00ED064D"/>
    <w:rsid w:val="00ED0D64"/>
    <w:rsid w:val="00ED1065"/>
    <w:rsid w:val="00ED19A3"/>
    <w:rsid w:val="00EE1CEB"/>
    <w:rsid w:val="00EE48D0"/>
    <w:rsid w:val="00F11389"/>
    <w:rsid w:val="00F15B65"/>
    <w:rsid w:val="00F161A4"/>
    <w:rsid w:val="00F21934"/>
    <w:rsid w:val="00F47B07"/>
    <w:rsid w:val="00F47BD3"/>
    <w:rsid w:val="00F720D0"/>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33"/>
      <o:colormenu v:ext="edit" fillcolor="#333"/>
    </o:shapedefaults>
    <o:shapelayout v:ext="edit">
      <o:idmap v:ext="edit" data="2"/>
    </o:shapelayout>
  </w:shapeDefaults>
  <w:decimalSymbol w:val="."/>
  <w:listSeparator w:val=","/>
  <w14:docId w14:val="57F43C48"/>
  <w15:chartTrackingRefBased/>
  <w15:docId w15:val="{8A3CF745-3091-5E49-8DE1-AD2902DB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1D4678"/>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1D4678"/>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paragraph" w:customStyle="1" w:styleId="Default">
    <w:name w:val="Default"/>
    <w:rsid w:val="0049595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mailto:quad@essex.ac.uk" TargetMode="External"/><Relationship Id="rId3" Type="http://schemas.openxmlformats.org/officeDocument/2006/relationships/styles" Target="styles.xml"/><Relationship Id="rId21" Type="http://schemas.openxmlformats.org/officeDocument/2006/relationships/hyperlink" Target="mailto:quad@essex.ac.uk"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essex.ac.uk/-/media/documents/directories/academic-section/academic-standards-and-quality/new-course-approval-development-stage-form.docx" TargetMode="External"/><Relationship Id="rId2" Type="http://schemas.openxmlformats.org/officeDocument/2006/relationships/numbering" Target="numbering.xml"/><Relationship Id="rId16" Type="http://schemas.openxmlformats.org/officeDocument/2006/relationships/hyperlink" Target="https://www.essex.ac.uk/-/media/documents/directories/academic-section/academic-standards-and-quality/new-course-approval-concept-stage.docx" TargetMode="External"/><Relationship Id="rId20" Type="http://schemas.openxmlformats.org/officeDocument/2006/relationships/hyperlink" Target="https://www.essex.ac.uk/-/media/documents/directories/academic-section/academic-standards-and-quality/module-proposal-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https://www.essex.ac.uk/governance-and-strategy/governance/key-dates" TargetMode="External"/><Relationship Id="rId19" Type="http://schemas.openxmlformats.org/officeDocument/2006/relationships/hyperlink" Target="https://internal.essex.ac.uk/CurriculumUpdateEsse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www.essex.ac.uk/staff/academic-standards-and-quality/course-design" TargetMode="External"/></Relationships>
</file>

<file path=word/diagrams/_rels/data1.xml.rels><?xml version="1.0" encoding="UTF-8" standalone="yes"?>
<Relationships xmlns="http://schemas.openxmlformats.org/package/2006/relationships"><Relationship Id="rId3" Type="http://schemas.openxmlformats.org/officeDocument/2006/relationships/hyperlink" Target="mailto:international@essex.ac.uk" TargetMode="External"/><Relationship Id="rId2" Type="http://schemas.openxmlformats.org/officeDocument/2006/relationships/hyperlink" Target="mailto:ebqstaff@essex.ac.uk" TargetMode="External"/><Relationship Id="rId1" Type="http://schemas.openxmlformats.org/officeDocument/2006/relationships/hyperlink" Target="mailto:accadmin@essex.ac.uk" TargetMode="External"/><Relationship Id="rId5" Type="http://schemas.openxmlformats.org/officeDocument/2006/relationships/hyperlink" Target="mailto:crt@essex.ac.uk" TargetMode="External"/><Relationship Id="rId4" Type="http://schemas.openxmlformats.org/officeDocument/2006/relationships/hyperlink" Target="mailto:funding@essex.ac.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E867EA-3FCF-2C46-B374-5B36C35937A9}" type="doc">
      <dgm:prSet loTypeId="urn:microsoft.com/office/officeart/2005/8/layout/vList5" loCatId="" qsTypeId="urn:microsoft.com/office/officeart/2005/8/quickstyle/simple1" qsCatId="simple" csTypeId="urn:microsoft.com/office/officeart/2005/8/colors/accent1_2" csCatId="accent1" phldr="1"/>
      <dgm:spPr/>
      <dgm:t>
        <a:bodyPr/>
        <a:lstStyle/>
        <a:p>
          <a:endParaRPr lang="en-GB"/>
        </a:p>
      </dgm:t>
    </dgm:pt>
    <dgm:pt modelId="{830622E4-E3F2-0844-A4E2-EB921A51D48D}">
      <dgm:prSet phldrT="[Text]" custT="1"/>
      <dgm:spPr>
        <a:solidFill>
          <a:srgbClr val="007A88"/>
        </a:solidFill>
        <a:ln>
          <a:solidFill>
            <a:srgbClr val="007A88"/>
          </a:solidFill>
        </a:ln>
      </dgm:spPr>
      <dgm:t>
        <a:bodyPr/>
        <a:lstStyle/>
        <a:p>
          <a:r>
            <a:rPr lang="en-GB" sz="1400"/>
            <a:t>Accommodation</a:t>
          </a:r>
        </a:p>
      </dgm:t>
      <dgm:extLst>
        <a:ext uri="{E40237B7-FDA0-4F09-8148-C483321AD2D9}">
          <dgm14:cNvPr xmlns:dgm14="http://schemas.microsoft.com/office/drawing/2010/diagram" id="0" name="">
            <a:hlinkClick xmlns:r="http://schemas.openxmlformats.org/officeDocument/2006/relationships" r:id="rId1"/>
          </dgm14:cNvPr>
        </a:ext>
      </dgm:extLst>
    </dgm:pt>
    <dgm:pt modelId="{3195BCD3-637B-3C42-A4D7-6FAFF71B0590}" type="parTrans" cxnId="{67CB0EAA-9882-7945-A450-9E07AC8C9083}">
      <dgm:prSet/>
      <dgm:spPr/>
      <dgm:t>
        <a:bodyPr/>
        <a:lstStyle/>
        <a:p>
          <a:endParaRPr lang="en-GB"/>
        </a:p>
      </dgm:t>
    </dgm:pt>
    <dgm:pt modelId="{1D5E0DB3-79FB-6D49-9BF0-639074359031}" type="sibTrans" cxnId="{67CB0EAA-9882-7945-A450-9E07AC8C9083}">
      <dgm:prSet/>
      <dgm:spPr/>
      <dgm:t>
        <a:bodyPr/>
        <a:lstStyle/>
        <a:p>
          <a:endParaRPr lang="en-GB"/>
        </a:p>
      </dgm:t>
    </dgm:pt>
    <dgm:pt modelId="{7E6BDD5B-22AE-A94D-AD23-33A96188BB5E}">
      <dgm:prSet phldrT="[Text]"/>
      <dgm:spPr>
        <a:solidFill>
          <a:srgbClr val="EAEAEA">
            <a:alpha val="90000"/>
          </a:srgbClr>
        </a:solidFill>
        <a:ln>
          <a:solidFill>
            <a:srgbClr val="EAEAEA">
              <a:alpha val="90000"/>
            </a:srgbClr>
          </a:solidFill>
        </a:ln>
      </dgm:spPr>
      <dgm:t>
        <a:bodyPr/>
        <a:lstStyle/>
        <a:p>
          <a:r>
            <a:rPr lang="en-GB"/>
            <a:t>Accommodation is often occupied over the summer and allocating and preparing rooms outside the standard times is a logistical challenge. It takes forward planning to make sure that accommodation is available, ready and contracted to students. </a:t>
          </a:r>
        </a:p>
      </dgm:t>
    </dgm:pt>
    <dgm:pt modelId="{DB87ACFA-F46A-1D48-B8E3-BFF9E8D5AAB9}" type="parTrans" cxnId="{348BC72D-6B2E-444D-BB87-4314971D885C}">
      <dgm:prSet/>
      <dgm:spPr/>
      <dgm:t>
        <a:bodyPr/>
        <a:lstStyle/>
        <a:p>
          <a:endParaRPr lang="en-GB"/>
        </a:p>
      </dgm:t>
    </dgm:pt>
    <dgm:pt modelId="{F3F46DE6-FFE2-7C40-9FF0-FB23FBB9B60A}" type="sibTrans" cxnId="{348BC72D-6B2E-444D-BB87-4314971D885C}">
      <dgm:prSet/>
      <dgm:spPr/>
      <dgm:t>
        <a:bodyPr/>
        <a:lstStyle/>
        <a:p>
          <a:endParaRPr lang="en-GB"/>
        </a:p>
      </dgm:t>
    </dgm:pt>
    <dgm:pt modelId="{DC5B356F-F6FD-9242-B086-C3FBE10640F8}">
      <dgm:prSet phldrT="[Text]" custT="1"/>
      <dgm:spPr>
        <a:solidFill>
          <a:srgbClr val="007A88"/>
        </a:solidFill>
        <a:ln>
          <a:solidFill>
            <a:srgbClr val="007A88"/>
          </a:solidFill>
        </a:ln>
      </dgm:spPr>
      <dgm:t>
        <a:bodyPr/>
        <a:lstStyle/>
        <a:p>
          <a:r>
            <a:rPr lang="en-GB" sz="1400"/>
            <a:t>Assessment (Exam Boards)</a:t>
          </a:r>
        </a:p>
      </dgm:t>
      <dgm:extLst>
        <a:ext uri="{E40237B7-FDA0-4F09-8148-C483321AD2D9}">
          <dgm14:cNvPr xmlns:dgm14="http://schemas.microsoft.com/office/drawing/2010/diagram" id="0" name="">
            <a:hlinkClick xmlns:r="http://schemas.openxmlformats.org/officeDocument/2006/relationships" r:id="rId2"/>
          </dgm14:cNvPr>
        </a:ext>
      </dgm:extLst>
    </dgm:pt>
    <dgm:pt modelId="{AA620D6F-CFAB-FF49-AF5E-C42AFAB19409}" type="parTrans" cxnId="{BD8B0D4C-6AFE-7B4E-8EC2-1F68388D34C0}">
      <dgm:prSet/>
      <dgm:spPr/>
      <dgm:t>
        <a:bodyPr/>
        <a:lstStyle/>
        <a:p>
          <a:endParaRPr lang="en-GB"/>
        </a:p>
      </dgm:t>
    </dgm:pt>
    <dgm:pt modelId="{A214E280-9105-EC4E-B72E-4728E6CD3488}" type="sibTrans" cxnId="{BD8B0D4C-6AFE-7B4E-8EC2-1F68388D34C0}">
      <dgm:prSet/>
      <dgm:spPr/>
      <dgm:t>
        <a:bodyPr/>
        <a:lstStyle/>
        <a:p>
          <a:endParaRPr lang="en-GB"/>
        </a:p>
      </dgm:t>
    </dgm:pt>
    <dgm:pt modelId="{728E7B60-1167-9348-9177-35A35EF07010}">
      <dgm:prSet phldrT="[Text]"/>
      <dgm:spPr>
        <a:solidFill>
          <a:srgbClr val="EAEAEA">
            <a:alpha val="90000"/>
          </a:srgbClr>
        </a:solidFill>
        <a:ln>
          <a:solidFill>
            <a:srgbClr val="EAEAEA">
              <a:alpha val="90000"/>
            </a:srgbClr>
          </a:solidFill>
        </a:ln>
      </dgm:spPr>
      <dgm:t>
        <a:bodyPr/>
        <a:lstStyle/>
        <a:p>
          <a:r>
            <a:rPr lang="en-GB"/>
            <a:t>Adding boards and resubmission boards at certain points in the academic year can cause system and capacity issues that delay student results. Advance discussion allows exam boards to be scheduled appropriately.</a:t>
          </a:r>
        </a:p>
      </dgm:t>
    </dgm:pt>
    <dgm:pt modelId="{D27A3657-DBED-F045-ADD2-C35C2CCE2209}" type="parTrans" cxnId="{C2A01155-2B8C-4343-81ED-5D9DAE5F81BC}">
      <dgm:prSet/>
      <dgm:spPr/>
      <dgm:t>
        <a:bodyPr/>
        <a:lstStyle/>
        <a:p>
          <a:endParaRPr lang="en-GB"/>
        </a:p>
      </dgm:t>
    </dgm:pt>
    <dgm:pt modelId="{55DB1E98-E21F-244F-8F66-1A187766C455}" type="sibTrans" cxnId="{C2A01155-2B8C-4343-81ED-5D9DAE5F81BC}">
      <dgm:prSet/>
      <dgm:spPr/>
      <dgm:t>
        <a:bodyPr/>
        <a:lstStyle/>
        <a:p>
          <a:endParaRPr lang="en-GB"/>
        </a:p>
      </dgm:t>
    </dgm:pt>
    <dgm:pt modelId="{B06FD1D8-8C3D-4046-8CDB-E2370C98B6A7}">
      <dgm:prSet phldrT="[Text]" custT="1"/>
      <dgm:spPr>
        <a:solidFill>
          <a:srgbClr val="007A88"/>
        </a:solidFill>
        <a:ln>
          <a:solidFill>
            <a:srgbClr val="007A88"/>
          </a:solidFill>
        </a:ln>
      </dgm:spPr>
      <dgm:t>
        <a:bodyPr/>
        <a:lstStyle/>
        <a:p>
          <a:r>
            <a:rPr lang="en-GB" sz="1400"/>
            <a:t>International Services</a:t>
          </a:r>
        </a:p>
      </dgm:t>
      <dgm:extLst>
        <a:ext uri="{E40237B7-FDA0-4F09-8148-C483321AD2D9}">
          <dgm14:cNvPr xmlns:dgm14="http://schemas.microsoft.com/office/drawing/2010/diagram" id="0" name="">
            <a:hlinkClick xmlns:r="http://schemas.openxmlformats.org/officeDocument/2006/relationships" r:id="rId3"/>
          </dgm14:cNvPr>
        </a:ext>
      </dgm:extLst>
    </dgm:pt>
    <dgm:pt modelId="{508FCAA0-F528-9D4C-AA9B-FCC07295294A}" type="parTrans" cxnId="{2C4BF2C8-08B4-4141-90AA-906B8F56FF9C}">
      <dgm:prSet/>
      <dgm:spPr/>
      <dgm:t>
        <a:bodyPr/>
        <a:lstStyle/>
        <a:p>
          <a:endParaRPr lang="en-GB"/>
        </a:p>
      </dgm:t>
    </dgm:pt>
    <dgm:pt modelId="{E2E30953-BDD1-5D49-AB1E-A208A8A8E424}" type="sibTrans" cxnId="{2C4BF2C8-08B4-4141-90AA-906B8F56FF9C}">
      <dgm:prSet/>
      <dgm:spPr/>
      <dgm:t>
        <a:bodyPr/>
        <a:lstStyle/>
        <a:p>
          <a:endParaRPr lang="en-GB"/>
        </a:p>
      </dgm:t>
    </dgm:pt>
    <dgm:pt modelId="{AAB50D3F-BA41-0446-A6C5-81C5B724B4C9}">
      <dgm:prSet phldrT="[Text]"/>
      <dgm:spPr>
        <a:solidFill>
          <a:srgbClr val="EAEAEA">
            <a:alpha val="90000"/>
          </a:srgbClr>
        </a:solidFill>
        <a:ln>
          <a:solidFill>
            <a:srgbClr val="EAEAEA">
              <a:alpha val="90000"/>
            </a:srgbClr>
          </a:solidFill>
        </a:ln>
      </dgm:spPr>
      <dgm:t>
        <a:bodyPr/>
        <a:lstStyle/>
        <a:p>
          <a:r>
            <a:rPr lang="en-GB"/>
            <a:t>The Funding team need to be involved at early stage to advise on potential funding issues and to ensure that, where appropriate, the deadlines for submitting course dates to the Student Loans Company are met. </a:t>
          </a:r>
        </a:p>
      </dgm:t>
    </dgm:pt>
    <dgm:pt modelId="{BEAFD454-6C30-FB4D-8714-B80C7FAFA41E}" type="parTrans" cxnId="{DF5FC974-8B80-3B47-8DF3-A85652C7010D}">
      <dgm:prSet/>
      <dgm:spPr/>
      <dgm:t>
        <a:bodyPr/>
        <a:lstStyle/>
        <a:p>
          <a:endParaRPr lang="en-GB"/>
        </a:p>
      </dgm:t>
    </dgm:pt>
    <dgm:pt modelId="{559A8484-50DC-3C48-9AB2-C5650BB84F98}" type="sibTrans" cxnId="{DF5FC974-8B80-3B47-8DF3-A85652C7010D}">
      <dgm:prSet/>
      <dgm:spPr/>
      <dgm:t>
        <a:bodyPr/>
        <a:lstStyle/>
        <a:p>
          <a:endParaRPr lang="en-GB"/>
        </a:p>
      </dgm:t>
    </dgm:pt>
    <dgm:pt modelId="{BBDB66CB-6F7B-4E49-B7B7-11725932F5B0}">
      <dgm:prSet phldrT="[Text]"/>
      <dgm:spPr>
        <a:solidFill>
          <a:srgbClr val="EAEAEA">
            <a:alpha val="90000"/>
          </a:srgbClr>
        </a:solidFill>
        <a:ln>
          <a:solidFill>
            <a:srgbClr val="EAEAEA">
              <a:alpha val="90000"/>
            </a:srgbClr>
          </a:solidFill>
        </a:ln>
      </dgm:spPr>
      <dgm:t>
        <a:bodyPr/>
        <a:lstStyle/>
        <a:p>
          <a:endParaRPr lang="en-GB"/>
        </a:p>
      </dgm:t>
    </dgm:pt>
    <dgm:pt modelId="{546FB4A3-20C8-5C42-BF47-EE91420E51CD}" type="parTrans" cxnId="{4A37B120-B815-664D-B72C-B2B66E6298F1}">
      <dgm:prSet/>
      <dgm:spPr/>
      <dgm:t>
        <a:bodyPr/>
        <a:lstStyle/>
        <a:p>
          <a:endParaRPr lang="en-GB"/>
        </a:p>
      </dgm:t>
    </dgm:pt>
    <dgm:pt modelId="{B345D5E6-CBA5-DA40-8E69-BA318F3C9CA0}" type="sibTrans" cxnId="{4A37B120-B815-664D-B72C-B2B66E6298F1}">
      <dgm:prSet/>
      <dgm:spPr/>
      <dgm:t>
        <a:bodyPr/>
        <a:lstStyle/>
        <a:p>
          <a:endParaRPr lang="en-GB"/>
        </a:p>
      </dgm:t>
    </dgm:pt>
    <dgm:pt modelId="{2993C7F6-4999-6F48-8B5E-9BA8CA68CB41}">
      <dgm:prSet phldrT="[Text]" custT="1"/>
      <dgm:spPr>
        <a:solidFill>
          <a:srgbClr val="007A88"/>
        </a:solidFill>
        <a:ln>
          <a:solidFill>
            <a:srgbClr val="007A88"/>
          </a:solidFill>
        </a:ln>
      </dgm:spPr>
      <dgm:t>
        <a:bodyPr/>
        <a:lstStyle/>
        <a:p>
          <a:r>
            <a:rPr lang="en-GB" sz="1400"/>
            <a:t>Funding</a:t>
          </a:r>
        </a:p>
      </dgm:t>
      <dgm:extLst>
        <a:ext uri="{E40237B7-FDA0-4F09-8148-C483321AD2D9}">
          <dgm14:cNvPr xmlns:dgm14="http://schemas.microsoft.com/office/drawing/2010/diagram" id="0" name="">
            <a:hlinkClick xmlns:r="http://schemas.openxmlformats.org/officeDocument/2006/relationships" r:id="rId4"/>
          </dgm14:cNvPr>
        </a:ext>
      </dgm:extLst>
    </dgm:pt>
    <dgm:pt modelId="{3DE801B3-E039-024F-8E0A-C0DC6ADC12A4}" type="parTrans" cxnId="{ED9587D0-89CA-5E48-961A-7C63A3FF6669}">
      <dgm:prSet/>
      <dgm:spPr/>
      <dgm:t>
        <a:bodyPr/>
        <a:lstStyle/>
        <a:p>
          <a:endParaRPr lang="en-GB"/>
        </a:p>
      </dgm:t>
    </dgm:pt>
    <dgm:pt modelId="{15F3BC25-B4A9-9C46-BE8D-C75E67E4DFC0}" type="sibTrans" cxnId="{ED9587D0-89CA-5E48-961A-7C63A3FF6669}">
      <dgm:prSet/>
      <dgm:spPr/>
      <dgm:t>
        <a:bodyPr/>
        <a:lstStyle/>
        <a:p>
          <a:endParaRPr lang="en-GB"/>
        </a:p>
      </dgm:t>
    </dgm:pt>
    <dgm:pt modelId="{30439AEC-0BCF-3646-A0F4-FB821B958E5D}">
      <dgm:prSet phldrT="[Text]" custT="1"/>
      <dgm:spPr>
        <a:solidFill>
          <a:srgbClr val="007A88"/>
        </a:solidFill>
        <a:ln>
          <a:solidFill>
            <a:srgbClr val="007A88"/>
          </a:solidFill>
        </a:ln>
      </dgm:spPr>
      <dgm:t>
        <a:bodyPr/>
        <a:lstStyle/>
        <a:p>
          <a:r>
            <a:rPr lang="en-GB" sz="1400"/>
            <a:t>Course Records</a:t>
          </a:r>
        </a:p>
      </dgm:t>
      <dgm:extLst>
        <a:ext uri="{E40237B7-FDA0-4F09-8148-C483321AD2D9}">
          <dgm14:cNvPr xmlns:dgm14="http://schemas.microsoft.com/office/drawing/2010/diagram" id="0" name="">
            <a:hlinkClick xmlns:r="http://schemas.openxmlformats.org/officeDocument/2006/relationships" r:id="rId5"/>
          </dgm14:cNvPr>
        </a:ext>
      </dgm:extLst>
    </dgm:pt>
    <dgm:pt modelId="{8C220BF2-46E0-CA4E-BDA0-C79A74AAFAA3}" type="parTrans" cxnId="{D62813D3-5D43-2F4B-A746-586FA5472012}">
      <dgm:prSet/>
      <dgm:spPr/>
      <dgm:t>
        <a:bodyPr/>
        <a:lstStyle/>
        <a:p>
          <a:endParaRPr lang="en-GB"/>
        </a:p>
      </dgm:t>
    </dgm:pt>
    <dgm:pt modelId="{B8F2AFF3-B6FD-3248-B00F-AF628849BC90}" type="sibTrans" cxnId="{D62813D3-5D43-2F4B-A746-586FA5472012}">
      <dgm:prSet/>
      <dgm:spPr/>
      <dgm:t>
        <a:bodyPr/>
        <a:lstStyle/>
        <a:p>
          <a:endParaRPr lang="en-GB"/>
        </a:p>
      </dgm:t>
    </dgm:pt>
    <dgm:pt modelId="{F2326A70-5A70-F046-9C2B-232FDB3C1E67}">
      <dgm:prSet phldrT="[Text]"/>
      <dgm:spPr>
        <a:solidFill>
          <a:srgbClr val="EAEAEA">
            <a:alpha val="90000"/>
          </a:srgbClr>
        </a:solidFill>
        <a:ln>
          <a:solidFill>
            <a:srgbClr val="EAEAEA">
              <a:alpha val="90000"/>
            </a:srgbClr>
          </a:solidFill>
        </a:ln>
      </dgm:spPr>
      <dgm:t>
        <a:bodyPr/>
        <a:lstStyle/>
        <a:p>
          <a:endParaRPr lang="en-GB"/>
        </a:p>
      </dgm:t>
    </dgm:pt>
    <dgm:pt modelId="{BC284029-B90E-6A4C-ABAD-20D7243DDD07}" type="parTrans" cxnId="{1B0E0E63-5653-134C-8B11-03A67CB75ECF}">
      <dgm:prSet/>
      <dgm:spPr/>
      <dgm:t>
        <a:bodyPr/>
        <a:lstStyle/>
        <a:p>
          <a:endParaRPr lang="en-GB"/>
        </a:p>
      </dgm:t>
    </dgm:pt>
    <dgm:pt modelId="{42FEB430-303E-0744-B55E-FF2D86CDDDF2}" type="sibTrans" cxnId="{1B0E0E63-5653-134C-8B11-03A67CB75ECF}">
      <dgm:prSet/>
      <dgm:spPr/>
      <dgm:t>
        <a:bodyPr/>
        <a:lstStyle/>
        <a:p>
          <a:endParaRPr lang="en-GB"/>
        </a:p>
      </dgm:t>
    </dgm:pt>
    <dgm:pt modelId="{A2B20577-641B-124F-8909-A79412CABA8E}">
      <dgm:prSet phldrT="[Text]" custT="1"/>
      <dgm:spPr>
        <a:solidFill>
          <a:srgbClr val="EAEAEA"/>
        </a:solidFill>
        <a:ln>
          <a:solidFill>
            <a:srgbClr val="EAEAEA">
              <a:alpha val="90000"/>
            </a:srgbClr>
          </a:solidFill>
        </a:ln>
      </dgm:spPr>
      <dgm:t>
        <a:bodyPr/>
        <a:lstStyle/>
        <a:p>
          <a:endParaRPr lang="en-GB" sz="900"/>
        </a:p>
      </dgm:t>
    </dgm:pt>
    <dgm:pt modelId="{EC331E37-FA6C-724B-B8A0-96C5A84D993C}" type="parTrans" cxnId="{A9937126-A750-5648-A24D-42ADCB3F3A2A}">
      <dgm:prSet/>
      <dgm:spPr/>
      <dgm:t>
        <a:bodyPr/>
        <a:lstStyle/>
        <a:p>
          <a:endParaRPr lang="en-GB"/>
        </a:p>
      </dgm:t>
    </dgm:pt>
    <dgm:pt modelId="{9953B41C-08A9-4347-B80F-365A473001C3}" type="sibTrans" cxnId="{A9937126-A750-5648-A24D-42ADCB3F3A2A}">
      <dgm:prSet/>
      <dgm:spPr/>
      <dgm:t>
        <a:bodyPr/>
        <a:lstStyle/>
        <a:p>
          <a:endParaRPr lang="en-GB"/>
        </a:p>
      </dgm:t>
    </dgm:pt>
    <dgm:pt modelId="{EFB859B6-EBBE-F144-BA78-DBC328AFAD2F}">
      <dgm:prSet/>
      <dgm:spPr/>
      <dgm:t>
        <a:bodyPr/>
        <a:lstStyle/>
        <a:p>
          <a:r>
            <a:rPr lang="en-GB"/>
            <a:t>You should consult at an early stage to ensure that the course complies with all relevant requirements for international students and that courses are designed to allow for teaching and assessment periods to fall within the CAS dates for students.  </a:t>
          </a:r>
        </a:p>
      </dgm:t>
    </dgm:pt>
    <dgm:pt modelId="{EEB752DF-59AC-8A4D-AEF2-DD8A98D6A94D}" type="parTrans" cxnId="{E4D97CC1-68E2-7344-9127-9A5DB87C03E8}">
      <dgm:prSet/>
      <dgm:spPr/>
      <dgm:t>
        <a:bodyPr/>
        <a:lstStyle/>
        <a:p>
          <a:endParaRPr lang="en-GB"/>
        </a:p>
      </dgm:t>
    </dgm:pt>
    <dgm:pt modelId="{31A2171E-3A57-0B4D-AE57-5A45A9C7C2D6}" type="sibTrans" cxnId="{E4D97CC1-68E2-7344-9127-9A5DB87C03E8}">
      <dgm:prSet/>
      <dgm:spPr/>
      <dgm:t>
        <a:bodyPr/>
        <a:lstStyle/>
        <a:p>
          <a:endParaRPr lang="en-GB"/>
        </a:p>
      </dgm:t>
    </dgm:pt>
    <dgm:pt modelId="{8F9E41D7-E6AF-3A44-A0CA-25BF1C88524C}">
      <dgm:prSet custT="1"/>
      <dgm:spPr/>
      <dgm:t>
        <a:bodyPr/>
        <a:lstStyle/>
        <a:p>
          <a:r>
            <a:rPr lang="en-GB" sz="900"/>
            <a:t>When assessment and teaching cross academic years this can cause system issues — but these can be avoided with appropriate discussions before course  approvals which will allow structures to be set up correctly. </a:t>
          </a:r>
        </a:p>
      </dgm:t>
    </dgm:pt>
    <dgm:pt modelId="{887DEC04-089A-FA4F-9C70-9ADD762CC036}" type="parTrans" cxnId="{714074ED-219E-6A4E-A6A2-C214792DC545}">
      <dgm:prSet/>
      <dgm:spPr/>
      <dgm:t>
        <a:bodyPr/>
        <a:lstStyle/>
        <a:p>
          <a:endParaRPr lang="en-GB"/>
        </a:p>
      </dgm:t>
    </dgm:pt>
    <dgm:pt modelId="{A4FCA7A4-2736-BF4C-9202-777F325BE941}" type="sibTrans" cxnId="{714074ED-219E-6A4E-A6A2-C214792DC545}">
      <dgm:prSet/>
      <dgm:spPr/>
      <dgm:t>
        <a:bodyPr/>
        <a:lstStyle/>
        <a:p>
          <a:endParaRPr lang="en-GB"/>
        </a:p>
      </dgm:t>
    </dgm:pt>
    <dgm:pt modelId="{F0968BFA-5CDC-FD46-83B7-CAC7592A4D89}" type="pres">
      <dgm:prSet presAssocID="{E9E867EA-3FCF-2C46-B374-5B36C35937A9}" presName="Name0" presStyleCnt="0">
        <dgm:presLayoutVars>
          <dgm:dir/>
          <dgm:animLvl val="lvl"/>
          <dgm:resizeHandles val="exact"/>
        </dgm:presLayoutVars>
      </dgm:prSet>
      <dgm:spPr/>
    </dgm:pt>
    <dgm:pt modelId="{6E6C35B3-B048-F84C-A206-CAAFE9111E2D}" type="pres">
      <dgm:prSet presAssocID="{30439AEC-0BCF-3646-A0F4-FB821B958E5D}" presName="linNode" presStyleCnt="0"/>
      <dgm:spPr/>
    </dgm:pt>
    <dgm:pt modelId="{52E4C04B-7F2B-454D-AAB6-6AC310C575EB}" type="pres">
      <dgm:prSet presAssocID="{30439AEC-0BCF-3646-A0F4-FB821B958E5D}" presName="parentText" presStyleLbl="node1" presStyleIdx="0" presStyleCnt="5">
        <dgm:presLayoutVars>
          <dgm:chMax val="1"/>
          <dgm:bulletEnabled val="1"/>
        </dgm:presLayoutVars>
      </dgm:prSet>
      <dgm:spPr/>
    </dgm:pt>
    <dgm:pt modelId="{7CD67B3C-63C7-F04D-85C5-5D723C7446F4}" type="pres">
      <dgm:prSet presAssocID="{30439AEC-0BCF-3646-A0F4-FB821B958E5D}" presName="descendantText" presStyleLbl="alignAccFollowNode1" presStyleIdx="0" presStyleCnt="5">
        <dgm:presLayoutVars>
          <dgm:bulletEnabled val="1"/>
        </dgm:presLayoutVars>
      </dgm:prSet>
      <dgm:spPr/>
    </dgm:pt>
    <dgm:pt modelId="{755232BB-882E-A842-A6C7-8DC21F27D2C7}" type="pres">
      <dgm:prSet presAssocID="{B8F2AFF3-B6FD-3248-B00F-AF628849BC90}" presName="sp" presStyleCnt="0"/>
      <dgm:spPr/>
    </dgm:pt>
    <dgm:pt modelId="{50C5B0F7-883E-B64D-A363-03786BF2CB4E}" type="pres">
      <dgm:prSet presAssocID="{830622E4-E3F2-0844-A4E2-EB921A51D48D}" presName="linNode" presStyleCnt="0"/>
      <dgm:spPr/>
    </dgm:pt>
    <dgm:pt modelId="{FBCC667F-D906-FC4E-97A9-2623A880EF2B}" type="pres">
      <dgm:prSet presAssocID="{830622E4-E3F2-0844-A4E2-EB921A51D48D}" presName="parentText" presStyleLbl="node1" presStyleIdx="1" presStyleCnt="5">
        <dgm:presLayoutVars>
          <dgm:chMax val="1"/>
          <dgm:bulletEnabled val="1"/>
        </dgm:presLayoutVars>
      </dgm:prSet>
      <dgm:spPr/>
    </dgm:pt>
    <dgm:pt modelId="{CD1690C7-2580-1044-878B-51B64DE0CF30}" type="pres">
      <dgm:prSet presAssocID="{830622E4-E3F2-0844-A4E2-EB921A51D48D}" presName="descendantText" presStyleLbl="alignAccFollowNode1" presStyleIdx="1" presStyleCnt="5">
        <dgm:presLayoutVars>
          <dgm:bulletEnabled val="1"/>
        </dgm:presLayoutVars>
      </dgm:prSet>
      <dgm:spPr/>
    </dgm:pt>
    <dgm:pt modelId="{67E5A278-689D-134C-9816-5ECD262D92E5}" type="pres">
      <dgm:prSet presAssocID="{1D5E0DB3-79FB-6D49-9BF0-639074359031}" presName="sp" presStyleCnt="0"/>
      <dgm:spPr/>
    </dgm:pt>
    <dgm:pt modelId="{B93BDAB8-A242-0C4C-AD19-1108BE5C6D0F}" type="pres">
      <dgm:prSet presAssocID="{DC5B356F-F6FD-9242-B086-C3FBE10640F8}" presName="linNode" presStyleCnt="0"/>
      <dgm:spPr/>
    </dgm:pt>
    <dgm:pt modelId="{7C9CDBDD-D8FD-1144-92C9-41089160AC4A}" type="pres">
      <dgm:prSet presAssocID="{DC5B356F-F6FD-9242-B086-C3FBE10640F8}" presName="parentText" presStyleLbl="node1" presStyleIdx="2" presStyleCnt="5">
        <dgm:presLayoutVars>
          <dgm:chMax val="1"/>
          <dgm:bulletEnabled val="1"/>
        </dgm:presLayoutVars>
      </dgm:prSet>
      <dgm:spPr/>
    </dgm:pt>
    <dgm:pt modelId="{242A97FB-71F3-EF4B-B825-9493FF466CF9}" type="pres">
      <dgm:prSet presAssocID="{DC5B356F-F6FD-9242-B086-C3FBE10640F8}" presName="descendantText" presStyleLbl="alignAccFollowNode1" presStyleIdx="2" presStyleCnt="5">
        <dgm:presLayoutVars>
          <dgm:bulletEnabled val="1"/>
        </dgm:presLayoutVars>
      </dgm:prSet>
      <dgm:spPr/>
    </dgm:pt>
    <dgm:pt modelId="{EEB5441F-7BC1-6940-B667-E82E131EBED6}" type="pres">
      <dgm:prSet presAssocID="{A214E280-9105-EC4E-B72E-4728E6CD3488}" presName="sp" presStyleCnt="0"/>
      <dgm:spPr/>
    </dgm:pt>
    <dgm:pt modelId="{956939DD-B789-3947-B70F-9F1624E8DE8B}" type="pres">
      <dgm:prSet presAssocID="{B06FD1D8-8C3D-4046-8CDB-E2370C98B6A7}" presName="linNode" presStyleCnt="0"/>
      <dgm:spPr/>
    </dgm:pt>
    <dgm:pt modelId="{CA1D174F-A8D6-2A4D-A474-27D26CC36B70}" type="pres">
      <dgm:prSet presAssocID="{B06FD1D8-8C3D-4046-8CDB-E2370C98B6A7}" presName="parentText" presStyleLbl="node1" presStyleIdx="3" presStyleCnt="5">
        <dgm:presLayoutVars>
          <dgm:chMax val="1"/>
          <dgm:bulletEnabled val="1"/>
        </dgm:presLayoutVars>
      </dgm:prSet>
      <dgm:spPr/>
    </dgm:pt>
    <dgm:pt modelId="{C33F8388-F219-D64A-B960-DE38026C4F11}" type="pres">
      <dgm:prSet presAssocID="{B06FD1D8-8C3D-4046-8CDB-E2370C98B6A7}" presName="descendantText" presStyleLbl="alignAccFollowNode1" presStyleIdx="3" presStyleCnt="5">
        <dgm:presLayoutVars>
          <dgm:bulletEnabled val="1"/>
        </dgm:presLayoutVars>
      </dgm:prSet>
      <dgm:spPr/>
    </dgm:pt>
    <dgm:pt modelId="{466C007C-C77F-2643-B8DA-3B85D648F156}" type="pres">
      <dgm:prSet presAssocID="{E2E30953-BDD1-5D49-AB1E-A208A8A8E424}" presName="sp" presStyleCnt="0"/>
      <dgm:spPr/>
    </dgm:pt>
    <dgm:pt modelId="{52C67E4E-CDCC-6849-8BDD-E37AF524A965}" type="pres">
      <dgm:prSet presAssocID="{2993C7F6-4999-6F48-8B5E-9BA8CA68CB41}" presName="linNode" presStyleCnt="0"/>
      <dgm:spPr/>
    </dgm:pt>
    <dgm:pt modelId="{CC677A40-36C1-FE47-A90A-A268EAC30CA8}" type="pres">
      <dgm:prSet presAssocID="{2993C7F6-4999-6F48-8B5E-9BA8CA68CB41}" presName="parentText" presStyleLbl="node1" presStyleIdx="4" presStyleCnt="5">
        <dgm:presLayoutVars>
          <dgm:chMax val="1"/>
          <dgm:bulletEnabled val="1"/>
        </dgm:presLayoutVars>
      </dgm:prSet>
      <dgm:spPr/>
    </dgm:pt>
    <dgm:pt modelId="{25A94DF8-7F8B-0844-827E-5CA9721D290F}" type="pres">
      <dgm:prSet presAssocID="{2993C7F6-4999-6F48-8B5E-9BA8CA68CB41}" presName="descendantText" presStyleLbl="alignAccFollowNode1" presStyleIdx="4" presStyleCnt="5">
        <dgm:presLayoutVars>
          <dgm:bulletEnabled val="1"/>
        </dgm:presLayoutVars>
      </dgm:prSet>
      <dgm:spPr/>
    </dgm:pt>
  </dgm:ptLst>
  <dgm:cxnLst>
    <dgm:cxn modelId="{37E5B409-A3E1-D54D-A01A-C7A1066BCD49}" type="presOf" srcId="{DC5B356F-F6FD-9242-B086-C3FBE10640F8}" destId="{7C9CDBDD-D8FD-1144-92C9-41089160AC4A}" srcOrd="0" destOrd="0" presId="urn:microsoft.com/office/officeart/2005/8/layout/vList5"/>
    <dgm:cxn modelId="{4A37B120-B815-664D-B72C-B2B66E6298F1}" srcId="{2993C7F6-4999-6F48-8B5E-9BA8CA68CB41}" destId="{BBDB66CB-6F7B-4E49-B7B7-11725932F5B0}" srcOrd="1" destOrd="0" parTransId="{546FB4A3-20C8-5C42-BF47-EE91420E51CD}" sibTransId="{B345D5E6-CBA5-DA40-8E69-BA318F3C9CA0}"/>
    <dgm:cxn modelId="{8BB71022-65EE-AF46-8E67-BB32787E3BAE}" type="presOf" srcId="{7E6BDD5B-22AE-A94D-AD23-33A96188BB5E}" destId="{CD1690C7-2580-1044-878B-51B64DE0CF30}" srcOrd="0" destOrd="0" presId="urn:microsoft.com/office/officeart/2005/8/layout/vList5"/>
    <dgm:cxn modelId="{A9937126-A750-5648-A24D-42ADCB3F3A2A}" srcId="{30439AEC-0BCF-3646-A0F4-FB821B958E5D}" destId="{A2B20577-641B-124F-8909-A79412CABA8E}" srcOrd="0" destOrd="0" parTransId="{EC331E37-FA6C-724B-B8A0-96C5A84D993C}" sibTransId="{9953B41C-08A9-4347-B80F-365A473001C3}"/>
    <dgm:cxn modelId="{348BC72D-6B2E-444D-BB87-4314971D885C}" srcId="{830622E4-E3F2-0844-A4E2-EB921A51D48D}" destId="{7E6BDD5B-22AE-A94D-AD23-33A96188BB5E}" srcOrd="0" destOrd="0" parTransId="{DB87ACFA-F46A-1D48-B8E3-BFF9E8D5AAB9}" sibTransId="{F3F46DE6-FFE2-7C40-9FF0-FB23FBB9B60A}"/>
    <dgm:cxn modelId="{2CD6D531-749B-AC4C-8727-605E3C4A68DE}" type="presOf" srcId="{A2B20577-641B-124F-8909-A79412CABA8E}" destId="{7CD67B3C-63C7-F04D-85C5-5D723C7446F4}" srcOrd="0" destOrd="0" presId="urn:microsoft.com/office/officeart/2005/8/layout/vList5"/>
    <dgm:cxn modelId="{C2E92B38-DFF4-7840-8F1B-E36DE074E33B}" type="presOf" srcId="{728E7B60-1167-9348-9177-35A35EF07010}" destId="{242A97FB-71F3-EF4B-B825-9493FF466CF9}" srcOrd="0" destOrd="0" presId="urn:microsoft.com/office/officeart/2005/8/layout/vList5"/>
    <dgm:cxn modelId="{B025DA5E-0A7A-8A46-952E-516CFDDF323D}" type="presOf" srcId="{2993C7F6-4999-6F48-8B5E-9BA8CA68CB41}" destId="{CC677A40-36C1-FE47-A90A-A268EAC30CA8}" srcOrd="0" destOrd="0" presId="urn:microsoft.com/office/officeart/2005/8/layout/vList5"/>
    <dgm:cxn modelId="{1B0E0E63-5653-134C-8B11-03A67CB75ECF}" srcId="{B06FD1D8-8C3D-4046-8CDB-E2370C98B6A7}" destId="{F2326A70-5A70-F046-9C2B-232FDB3C1E67}" srcOrd="0" destOrd="0" parTransId="{BC284029-B90E-6A4C-ABAD-20D7243DDD07}" sibTransId="{42FEB430-303E-0744-B55E-FF2D86CDDDF2}"/>
    <dgm:cxn modelId="{69901C64-4DE2-364A-AF6A-29C11C6C730F}" type="presOf" srcId="{E9E867EA-3FCF-2C46-B374-5B36C35937A9}" destId="{F0968BFA-5CDC-FD46-83B7-CAC7592A4D89}" srcOrd="0" destOrd="0" presId="urn:microsoft.com/office/officeart/2005/8/layout/vList5"/>
    <dgm:cxn modelId="{3AB7AB46-8DEA-6441-9C79-F71BAEF9B1FA}" type="presOf" srcId="{BBDB66CB-6F7B-4E49-B7B7-11725932F5B0}" destId="{25A94DF8-7F8B-0844-827E-5CA9721D290F}" srcOrd="0" destOrd="1" presId="urn:microsoft.com/office/officeart/2005/8/layout/vList5"/>
    <dgm:cxn modelId="{BD8B0D4C-6AFE-7B4E-8EC2-1F68388D34C0}" srcId="{E9E867EA-3FCF-2C46-B374-5B36C35937A9}" destId="{DC5B356F-F6FD-9242-B086-C3FBE10640F8}" srcOrd="2" destOrd="0" parTransId="{AA620D6F-CFAB-FF49-AF5E-C42AFAB19409}" sibTransId="{A214E280-9105-EC4E-B72E-4728E6CD3488}"/>
    <dgm:cxn modelId="{DF5FC974-8B80-3B47-8DF3-A85652C7010D}" srcId="{2993C7F6-4999-6F48-8B5E-9BA8CA68CB41}" destId="{AAB50D3F-BA41-0446-A6C5-81C5B724B4C9}" srcOrd="0" destOrd="0" parTransId="{BEAFD454-6C30-FB4D-8714-B80C7FAFA41E}" sibTransId="{559A8484-50DC-3C48-9AB2-C5650BB84F98}"/>
    <dgm:cxn modelId="{C2A01155-2B8C-4343-81ED-5D9DAE5F81BC}" srcId="{DC5B356F-F6FD-9242-B086-C3FBE10640F8}" destId="{728E7B60-1167-9348-9177-35A35EF07010}" srcOrd="0" destOrd="0" parTransId="{D27A3657-DBED-F045-ADD2-C35C2CCE2209}" sibTransId="{55DB1E98-E21F-244F-8F66-1A187766C455}"/>
    <dgm:cxn modelId="{72E37956-D659-EE4A-B933-45B314ECCB7E}" type="presOf" srcId="{30439AEC-0BCF-3646-A0F4-FB821B958E5D}" destId="{52E4C04B-7F2B-454D-AAB6-6AC310C575EB}" srcOrd="0" destOrd="0" presId="urn:microsoft.com/office/officeart/2005/8/layout/vList5"/>
    <dgm:cxn modelId="{FEFD7385-6F83-7349-8B2E-BF4906B7FF02}" type="presOf" srcId="{B06FD1D8-8C3D-4046-8CDB-E2370C98B6A7}" destId="{CA1D174F-A8D6-2A4D-A474-27D26CC36B70}" srcOrd="0" destOrd="0" presId="urn:microsoft.com/office/officeart/2005/8/layout/vList5"/>
    <dgm:cxn modelId="{6F496C8D-1331-E547-969F-1D4EB3EB9DD5}" type="presOf" srcId="{830622E4-E3F2-0844-A4E2-EB921A51D48D}" destId="{FBCC667F-D906-FC4E-97A9-2623A880EF2B}" srcOrd="0" destOrd="0" presId="urn:microsoft.com/office/officeart/2005/8/layout/vList5"/>
    <dgm:cxn modelId="{570D02A3-4259-254E-852A-552882233A6E}" type="presOf" srcId="{AAB50D3F-BA41-0446-A6C5-81C5B724B4C9}" destId="{25A94DF8-7F8B-0844-827E-5CA9721D290F}" srcOrd="0" destOrd="0" presId="urn:microsoft.com/office/officeart/2005/8/layout/vList5"/>
    <dgm:cxn modelId="{67CB0EAA-9882-7945-A450-9E07AC8C9083}" srcId="{E9E867EA-3FCF-2C46-B374-5B36C35937A9}" destId="{830622E4-E3F2-0844-A4E2-EB921A51D48D}" srcOrd="1" destOrd="0" parTransId="{3195BCD3-637B-3C42-A4D7-6FAFF71B0590}" sibTransId="{1D5E0DB3-79FB-6D49-9BF0-639074359031}"/>
    <dgm:cxn modelId="{E4D97CC1-68E2-7344-9127-9A5DB87C03E8}" srcId="{B06FD1D8-8C3D-4046-8CDB-E2370C98B6A7}" destId="{EFB859B6-EBBE-F144-BA78-DBC328AFAD2F}" srcOrd="1" destOrd="0" parTransId="{EEB752DF-59AC-8A4D-AEF2-DD8A98D6A94D}" sibTransId="{31A2171E-3A57-0B4D-AE57-5A45A9C7C2D6}"/>
    <dgm:cxn modelId="{C335AFC3-AAA7-5146-9E2C-E1EC9DBEA2FA}" type="presOf" srcId="{EFB859B6-EBBE-F144-BA78-DBC328AFAD2F}" destId="{C33F8388-F219-D64A-B960-DE38026C4F11}" srcOrd="0" destOrd="1" presId="urn:microsoft.com/office/officeart/2005/8/layout/vList5"/>
    <dgm:cxn modelId="{7D37F6C5-66EF-E84F-9E1E-313CDA15058F}" type="presOf" srcId="{F2326A70-5A70-F046-9C2B-232FDB3C1E67}" destId="{C33F8388-F219-D64A-B960-DE38026C4F11}" srcOrd="0" destOrd="0" presId="urn:microsoft.com/office/officeart/2005/8/layout/vList5"/>
    <dgm:cxn modelId="{2C4BF2C8-08B4-4141-90AA-906B8F56FF9C}" srcId="{E9E867EA-3FCF-2C46-B374-5B36C35937A9}" destId="{B06FD1D8-8C3D-4046-8CDB-E2370C98B6A7}" srcOrd="3" destOrd="0" parTransId="{508FCAA0-F528-9D4C-AA9B-FCC07295294A}" sibTransId="{E2E30953-BDD1-5D49-AB1E-A208A8A8E424}"/>
    <dgm:cxn modelId="{ED9587D0-89CA-5E48-961A-7C63A3FF6669}" srcId="{E9E867EA-3FCF-2C46-B374-5B36C35937A9}" destId="{2993C7F6-4999-6F48-8B5E-9BA8CA68CB41}" srcOrd="4" destOrd="0" parTransId="{3DE801B3-E039-024F-8E0A-C0DC6ADC12A4}" sibTransId="{15F3BC25-B4A9-9C46-BE8D-C75E67E4DFC0}"/>
    <dgm:cxn modelId="{D62813D3-5D43-2F4B-A746-586FA5472012}" srcId="{E9E867EA-3FCF-2C46-B374-5B36C35937A9}" destId="{30439AEC-0BCF-3646-A0F4-FB821B958E5D}" srcOrd="0" destOrd="0" parTransId="{8C220BF2-46E0-CA4E-BDA0-C79A74AAFAA3}" sibTransId="{B8F2AFF3-B6FD-3248-B00F-AF628849BC90}"/>
    <dgm:cxn modelId="{9B7FF6E2-2996-DF44-B20E-C0FBF095DD83}" type="presOf" srcId="{8F9E41D7-E6AF-3A44-A0CA-25BF1C88524C}" destId="{7CD67B3C-63C7-F04D-85C5-5D723C7446F4}" srcOrd="0" destOrd="1" presId="urn:microsoft.com/office/officeart/2005/8/layout/vList5"/>
    <dgm:cxn modelId="{714074ED-219E-6A4E-A6A2-C214792DC545}" srcId="{30439AEC-0BCF-3646-A0F4-FB821B958E5D}" destId="{8F9E41D7-E6AF-3A44-A0CA-25BF1C88524C}" srcOrd="1" destOrd="0" parTransId="{887DEC04-089A-FA4F-9C70-9ADD762CC036}" sibTransId="{A4FCA7A4-2736-BF4C-9202-777F325BE941}"/>
    <dgm:cxn modelId="{B0C16A45-DB65-0F4E-A5FD-A1197DA8C86D}" type="presParOf" srcId="{F0968BFA-5CDC-FD46-83B7-CAC7592A4D89}" destId="{6E6C35B3-B048-F84C-A206-CAAFE9111E2D}" srcOrd="0" destOrd="0" presId="urn:microsoft.com/office/officeart/2005/8/layout/vList5"/>
    <dgm:cxn modelId="{CE98BF4C-438D-1C41-A208-2DA21FA56322}" type="presParOf" srcId="{6E6C35B3-B048-F84C-A206-CAAFE9111E2D}" destId="{52E4C04B-7F2B-454D-AAB6-6AC310C575EB}" srcOrd="0" destOrd="0" presId="urn:microsoft.com/office/officeart/2005/8/layout/vList5"/>
    <dgm:cxn modelId="{29B1CD08-4BC6-0447-A285-5BF7B76FD955}" type="presParOf" srcId="{6E6C35B3-B048-F84C-A206-CAAFE9111E2D}" destId="{7CD67B3C-63C7-F04D-85C5-5D723C7446F4}" srcOrd="1" destOrd="0" presId="urn:microsoft.com/office/officeart/2005/8/layout/vList5"/>
    <dgm:cxn modelId="{7EBB57EF-6249-F040-A63E-46667B4C3C31}" type="presParOf" srcId="{F0968BFA-5CDC-FD46-83B7-CAC7592A4D89}" destId="{755232BB-882E-A842-A6C7-8DC21F27D2C7}" srcOrd="1" destOrd="0" presId="urn:microsoft.com/office/officeart/2005/8/layout/vList5"/>
    <dgm:cxn modelId="{4CD51807-0BDB-8943-A5C7-42777E45E587}" type="presParOf" srcId="{F0968BFA-5CDC-FD46-83B7-CAC7592A4D89}" destId="{50C5B0F7-883E-B64D-A363-03786BF2CB4E}" srcOrd="2" destOrd="0" presId="urn:microsoft.com/office/officeart/2005/8/layout/vList5"/>
    <dgm:cxn modelId="{F96F9DA6-010E-1941-94EC-124D15D3064E}" type="presParOf" srcId="{50C5B0F7-883E-B64D-A363-03786BF2CB4E}" destId="{FBCC667F-D906-FC4E-97A9-2623A880EF2B}" srcOrd="0" destOrd="0" presId="urn:microsoft.com/office/officeart/2005/8/layout/vList5"/>
    <dgm:cxn modelId="{8C67F18A-D8CE-A34F-8D11-6BB249FE93A4}" type="presParOf" srcId="{50C5B0F7-883E-B64D-A363-03786BF2CB4E}" destId="{CD1690C7-2580-1044-878B-51B64DE0CF30}" srcOrd="1" destOrd="0" presId="urn:microsoft.com/office/officeart/2005/8/layout/vList5"/>
    <dgm:cxn modelId="{802B4F14-472C-F44C-927E-AE85F30BEDBF}" type="presParOf" srcId="{F0968BFA-5CDC-FD46-83B7-CAC7592A4D89}" destId="{67E5A278-689D-134C-9816-5ECD262D92E5}" srcOrd="3" destOrd="0" presId="urn:microsoft.com/office/officeart/2005/8/layout/vList5"/>
    <dgm:cxn modelId="{247A9374-5DA2-6A48-9DA1-281FAA213C5C}" type="presParOf" srcId="{F0968BFA-5CDC-FD46-83B7-CAC7592A4D89}" destId="{B93BDAB8-A242-0C4C-AD19-1108BE5C6D0F}" srcOrd="4" destOrd="0" presId="urn:microsoft.com/office/officeart/2005/8/layout/vList5"/>
    <dgm:cxn modelId="{C97ADF35-D095-4E4C-A05D-29B74A0C8367}" type="presParOf" srcId="{B93BDAB8-A242-0C4C-AD19-1108BE5C6D0F}" destId="{7C9CDBDD-D8FD-1144-92C9-41089160AC4A}" srcOrd="0" destOrd="0" presId="urn:microsoft.com/office/officeart/2005/8/layout/vList5"/>
    <dgm:cxn modelId="{23734D74-2507-524C-AA96-4FD946B29D44}" type="presParOf" srcId="{B93BDAB8-A242-0C4C-AD19-1108BE5C6D0F}" destId="{242A97FB-71F3-EF4B-B825-9493FF466CF9}" srcOrd="1" destOrd="0" presId="urn:microsoft.com/office/officeart/2005/8/layout/vList5"/>
    <dgm:cxn modelId="{64FD3373-3084-CA47-B457-4D11878E907D}" type="presParOf" srcId="{F0968BFA-5CDC-FD46-83B7-CAC7592A4D89}" destId="{EEB5441F-7BC1-6940-B667-E82E131EBED6}" srcOrd="5" destOrd="0" presId="urn:microsoft.com/office/officeart/2005/8/layout/vList5"/>
    <dgm:cxn modelId="{85BBA6F3-F9B4-C54E-A306-C6101EB47CB6}" type="presParOf" srcId="{F0968BFA-5CDC-FD46-83B7-CAC7592A4D89}" destId="{956939DD-B789-3947-B70F-9F1624E8DE8B}" srcOrd="6" destOrd="0" presId="urn:microsoft.com/office/officeart/2005/8/layout/vList5"/>
    <dgm:cxn modelId="{4EDFC745-48E6-304E-890C-0841C1FECA3F}" type="presParOf" srcId="{956939DD-B789-3947-B70F-9F1624E8DE8B}" destId="{CA1D174F-A8D6-2A4D-A474-27D26CC36B70}" srcOrd="0" destOrd="0" presId="urn:microsoft.com/office/officeart/2005/8/layout/vList5"/>
    <dgm:cxn modelId="{78E50D47-77C9-7F4F-BFD7-2D445E9C45A1}" type="presParOf" srcId="{956939DD-B789-3947-B70F-9F1624E8DE8B}" destId="{C33F8388-F219-D64A-B960-DE38026C4F11}" srcOrd="1" destOrd="0" presId="urn:microsoft.com/office/officeart/2005/8/layout/vList5"/>
    <dgm:cxn modelId="{09C2B846-8B0A-0446-BF26-43B033BD9FA3}" type="presParOf" srcId="{F0968BFA-5CDC-FD46-83B7-CAC7592A4D89}" destId="{466C007C-C77F-2643-B8DA-3B85D648F156}" srcOrd="7" destOrd="0" presId="urn:microsoft.com/office/officeart/2005/8/layout/vList5"/>
    <dgm:cxn modelId="{F980CEFE-6416-524B-86F3-2CE8CD65C511}" type="presParOf" srcId="{F0968BFA-5CDC-FD46-83B7-CAC7592A4D89}" destId="{52C67E4E-CDCC-6849-8BDD-E37AF524A965}" srcOrd="8" destOrd="0" presId="urn:microsoft.com/office/officeart/2005/8/layout/vList5"/>
    <dgm:cxn modelId="{CA53C54A-3DF1-A842-B040-36AA1B84B139}" type="presParOf" srcId="{52C67E4E-CDCC-6849-8BDD-E37AF524A965}" destId="{CC677A40-36C1-FE47-A90A-A268EAC30CA8}" srcOrd="0" destOrd="0" presId="urn:microsoft.com/office/officeart/2005/8/layout/vList5"/>
    <dgm:cxn modelId="{FB25A6F8-29F8-1E49-93BF-890BB1BCA0A7}" type="presParOf" srcId="{52C67E4E-CDCC-6849-8BDD-E37AF524A965}" destId="{25A94DF8-7F8B-0844-827E-5CA9721D290F}"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67B3C-63C7-F04D-85C5-5D723C7446F4}">
      <dsp:nvSpPr>
        <dsp:cNvPr id="0" name=""/>
        <dsp:cNvSpPr/>
      </dsp:nvSpPr>
      <dsp:spPr>
        <a:xfrm rot="5400000">
          <a:off x="4311287" y="-1750660"/>
          <a:ext cx="708622" cy="4391152"/>
        </a:xfrm>
        <a:prstGeom prst="round2SameRect">
          <a:avLst/>
        </a:prstGeom>
        <a:solidFill>
          <a:srgbClr val="EAEAEA"/>
        </a:solidFill>
        <a:ln w="12700" cap="flat" cmpd="sng" algn="ctr">
          <a:solidFill>
            <a:srgbClr val="EAEAEA">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3820" tIns="41910" rIns="83820" bIns="41910" numCol="1" spcCol="1270" anchor="ctr" anchorCtr="0">
          <a:noAutofit/>
        </a:bodyPr>
        <a:lstStyle/>
        <a:p>
          <a:pPr marL="57150" lvl="1" indent="-57150" algn="l" defTabSz="400050">
            <a:lnSpc>
              <a:spcPct val="90000"/>
            </a:lnSpc>
            <a:spcBef>
              <a:spcPct val="0"/>
            </a:spcBef>
            <a:spcAft>
              <a:spcPct val="15000"/>
            </a:spcAft>
            <a:buChar char="•"/>
          </a:pPr>
          <a:endParaRPr lang="en-GB" sz="900" kern="1200"/>
        </a:p>
        <a:p>
          <a:pPr marL="57150" lvl="1" indent="-57150" algn="l" defTabSz="400050">
            <a:lnSpc>
              <a:spcPct val="90000"/>
            </a:lnSpc>
            <a:spcBef>
              <a:spcPct val="0"/>
            </a:spcBef>
            <a:spcAft>
              <a:spcPct val="15000"/>
            </a:spcAft>
            <a:buChar char="•"/>
          </a:pPr>
          <a:r>
            <a:rPr lang="en-GB" sz="900" kern="1200"/>
            <a:t>When assessment and teaching cross academic years this can cause system issues — but these can be avoided with appropriate discussions before course  approvals which will allow structures to be set up correctly. </a:t>
          </a:r>
        </a:p>
      </dsp:txBody>
      <dsp:txXfrm rot="-5400000">
        <a:off x="2470022" y="125197"/>
        <a:ext cx="4356560" cy="639438"/>
      </dsp:txXfrm>
    </dsp:sp>
    <dsp:sp modelId="{52E4C04B-7F2B-454D-AAB6-6AC310C575EB}">
      <dsp:nvSpPr>
        <dsp:cNvPr id="0" name=""/>
        <dsp:cNvSpPr/>
      </dsp:nvSpPr>
      <dsp:spPr>
        <a:xfrm>
          <a:off x="0" y="2025"/>
          <a:ext cx="2470023" cy="885778"/>
        </a:xfrm>
        <a:prstGeom prst="roundRect">
          <a:avLst/>
        </a:prstGeom>
        <a:solidFill>
          <a:srgbClr val="007A88"/>
        </a:solidFill>
        <a:ln w="12700" cap="flat" cmpd="sng" algn="ctr">
          <a:solidFill>
            <a:srgbClr val="007A8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t>Course Records</a:t>
          </a:r>
        </a:p>
      </dsp:txBody>
      <dsp:txXfrm>
        <a:off x="43240" y="45265"/>
        <a:ext cx="2383543" cy="799298"/>
      </dsp:txXfrm>
    </dsp:sp>
    <dsp:sp modelId="{CD1690C7-2580-1044-878B-51B64DE0CF30}">
      <dsp:nvSpPr>
        <dsp:cNvPr id="0" name=""/>
        <dsp:cNvSpPr/>
      </dsp:nvSpPr>
      <dsp:spPr>
        <a:xfrm rot="5400000">
          <a:off x="4311287" y="-820593"/>
          <a:ext cx="708622" cy="4391152"/>
        </a:xfrm>
        <a:prstGeom prst="round2SameRect">
          <a:avLst/>
        </a:prstGeom>
        <a:solidFill>
          <a:srgbClr val="EAEAEA">
            <a:alpha val="90000"/>
          </a:srgbClr>
        </a:solidFill>
        <a:ln w="12700" cap="flat" cmpd="sng" algn="ctr">
          <a:solidFill>
            <a:srgbClr val="EAEAEA">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Accommodation is often occupied over the summer and allocating and preparing rooms outside the standard times is a logistical challenge. It takes forward planning to make sure that accommodation is available, ready and contracted to students. </a:t>
          </a:r>
        </a:p>
      </dsp:txBody>
      <dsp:txXfrm rot="-5400000">
        <a:off x="2470022" y="1055264"/>
        <a:ext cx="4356560" cy="639438"/>
      </dsp:txXfrm>
    </dsp:sp>
    <dsp:sp modelId="{FBCC667F-D906-FC4E-97A9-2623A880EF2B}">
      <dsp:nvSpPr>
        <dsp:cNvPr id="0" name=""/>
        <dsp:cNvSpPr/>
      </dsp:nvSpPr>
      <dsp:spPr>
        <a:xfrm>
          <a:off x="0" y="932093"/>
          <a:ext cx="2470023" cy="885778"/>
        </a:xfrm>
        <a:prstGeom prst="roundRect">
          <a:avLst/>
        </a:prstGeom>
        <a:solidFill>
          <a:srgbClr val="007A88"/>
        </a:solidFill>
        <a:ln w="12700" cap="flat" cmpd="sng" algn="ctr">
          <a:solidFill>
            <a:srgbClr val="007A8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t>Accommodation</a:t>
          </a:r>
        </a:p>
      </dsp:txBody>
      <dsp:txXfrm>
        <a:off x="43240" y="975333"/>
        <a:ext cx="2383543" cy="799298"/>
      </dsp:txXfrm>
    </dsp:sp>
    <dsp:sp modelId="{242A97FB-71F3-EF4B-B825-9493FF466CF9}">
      <dsp:nvSpPr>
        <dsp:cNvPr id="0" name=""/>
        <dsp:cNvSpPr/>
      </dsp:nvSpPr>
      <dsp:spPr>
        <a:xfrm rot="5400000">
          <a:off x="4311287" y="109473"/>
          <a:ext cx="708622" cy="4391152"/>
        </a:xfrm>
        <a:prstGeom prst="round2SameRect">
          <a:avLst/>
        </a:prstGeom>
        <a:solidFill>
          <a:srgbClr val="EAEAEA">
            <a:alpha val="90000"/>
          </a:srgbClr>
        </a:solidFill>
        <a:ln w="12700" cap="flat" cmpd="sng" algn="ctr">
          <a:solidFill>
            <a:srgbClr val="EAEAEA">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Adding boards and resubmission boards at certain points in the academic year can cause system and capacity issues that delay student results. Advance discussion allows exam boards to be scheduled appropriately.</a:t>
          </a:r>
        </a:p>
      </dsp:txBody>
      <dsp:txXfrm rot="-5400000">
        <a:off x="2470022" y="1985330"/>
        <a:ext cx="4356560" cy="639438"/>
      </dsp:txXfrm>
    </dsp:sp>
    <dsp:sp modelId="{7C9CDBDD-D8FD-1144-92C9-41089160AC4A}">
      <dsp:nvSpPr>
        <dsp:cNvPr id="0" name=""/>
        <dsp:cNvSpPr/>
      </dsp:nvSpPr>
      <dsp:spPr>
        <a:xfrm>
          <a:off x="0" y="1862160"/>
          <a:ext cx="2470023" cy="885778"/>
        </a:xfrm>
        <a:prstGeom prst="roundRect">
          <a:avLst/>
        </a:prstGeom>
        <a:solidFill>
          <a:srgbClr val="007A88"/>
        </a:solidFill>
        <a:ln w="12700" cap="flat" cmpd="sng" algn="ctr">
          <a:solidFill>
            <a:srgbClr val="007A8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t>Assessment (Exam Boards)</a:t>
          </a:r>
        </a:p>
      </dsp:txBody>
      <dsp:txXfrm>
        <a:off x="43240" y="1905400"/>
        <a:ext cx="2383543" cy="799298"/>
      </dsp:txXfrm>
    </dsp:sp>
    <dsp:sp modelId="{C33F8388-F219-D64A-B960-DE38026C4F11}">
      <dsp:nvSpPr>
        <dsp:cNvPr id="0" name=""/>
        <dsp:cNvSpPr/>
      </dsp:nvSpPr>
      <dsp:spPr>
        <a:xfrm rot="5400000">
          <a:off x="4311287" y="1039541"/>
          <a:ext cx="708622" cy="4391152"/>
        </a:xfrm>
        <a:prstGeom prst="round2SameRect">
          <a:avLst/>
        </a:prstGeom>
        <a:solidFill>
          <a:srgbClr val="EAEAEA">
            <a:alpha val="90000"/>
          </a:srgbClr>
        </a:solidFill>
        <a:ln w="12700" cap="flat" cmpd="sng" algn="ctr">
          <a:solidFill>
            <a:srgbClr val="EAEAEA">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endParaRPr lang="en-GB" sz="900" kern="1200"/>
        </a:p>
        <a:p>
          <a:pPr marL="57150" lvl="1" indent="-57150" algn="l" defTabSz="400050">
            <a:lnSpc>
              <a:spcPct val="90000"/>
            </a:lnSpc>
            <a:spcBef>
              <a:spcPct val="0"/>
            </a:spcBef>
            <a:spcAft>
              <a:spcPct val="15000"/>
            </a:spcAft>
            <a:buChar char="•"/>
          </a:pPr>
          <a:r>
            <a:rPr lang="en-GB" sz="900" kern="1200"/>
            <a:t>You should consult at an early stage to ensure that the course complies with all relevant requirements for international students and that courses are designed to allow for teaching and assessment periods to fall within the CAS dates for students.  </a:t>
          </a:r>
        </a:p>
      </dsp:txBody>
      <dsp:txXfrm rot="-5400000">
        <a:off x="2470022" y="2915398"/>
        <a:ext cx="4356560" cy="639438"/>
      </dsp:txXfrm>
    </dsp:sp>
    <dsp:sp modelId="{CA1D174F-A8D6-2A4D-A474-27D26CC36B70}">
      <dsp:nvSpPr>
        <dsp:cNvPr id="0" name=""/>
        <dsp:cNvSpPr/>
      </dsp:nvSpPr>
      <dsp:spPr>
        <a:xfrm>
          <a:off x="0" y="2792228"/>
          <a:ext cx="2470023" cy="885778"/>
        </a:xfrm>
        <a:prstGeom prst="roundRect">
          <a:avLst/>
        </a:prstGeom>
        <a:solidFill>
          <a:srgbClr val="007A88"/>
        </a:solidFill>
        <a:ln w="12700" cap="flat" cmpd="sng" algn="ctr">
          <a:solidFill>
            <a:srgbClr val="007A8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t>International Services</a:t>
          </a:r>
        </a:p>
      </dsp:txBody>
      <dsp:txXfrm>
        <a:off x="43240" y="2835468"/>
        <a:ext cx="2383543" cy="799298"/>
      </dsp:txXfrm>
    </dsp:sp>
    <dsp:sp modelId="{25A94DF8-7F8B-0844-827E-5CA9721D290F}">
      <dsp:nvSpPr>
        <dsp:cNvPr id="0" name=""/>
        <dsp:cNvSpPr/>
      </dsp:nvSpPr>
      <dsp:spPr>
        <a:xfrm rot="5400000">
          <a:off x="4311287" y="1969608"/>
          <a:ext cx="708622" cy="4391152"/>
        </a:xfrm>
        <a:prstGeom prst="round2SameRect">
          <a:avLst/>
        </a:prstGeom>
        <a:solidFill>
          <a:srgbClr val="EAEAEA">
            <a:alpha val="90000"/>
          </a:srgbClr>
        </a:solidFill>
        <a:ln w="12700" cap="flat" cmpd="sng" algn="ctr">
          <a:solidFill>
            <a:srgbClr val="EAEAEA">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The Funding team need to be involved at early stage to advise on potential funding issues and to ensure that, where appropriate, the deadlines for submitting course dates to the Student Loans Company are met. </a:t>
          </a:r>
        </a:p>
        <a:p>
          <a:pPr marL="57150" lvl="1" indent="-57150" algn="l" defTabSz="400050">
            <a:lnSpc>
              <a:spcPct val="90000"/>
            </a:lnSpc>
            <a:spcBef>
              <a:spcPct val="0"/>
            </a:spcBef>
            <a:spcAft>
              <a:spcPct val="15000"/>
            </a:spcAft>
            <a:buChar char="•"/>
          </a:pPr>
          <a:endParaRPr lang="en-GB" sz="900" kern="1200"/>
        </a:p>
      </dsp:txBody>
      <dsp:txXfrm rot="-5400000">
        <a:off x="2470022" y="3845465"/>
        <a:ext cx="4356560" cy="639438"/>
      </dsp:txXfrm>
    </dsp:sp>
    <dsp:sp modelId="{CC677A40-36C1-FE47-A90A-A268EAC30CA8}">
      <dsp:nvSpPr>
        <dsp:cNvPr id="0" name=""/>
        <dsp:cNvSpPr/>
      </dsp:nvSpPr>
      <dsp:spPr>
        <a:xfrm>
          <a:off x="0" y="3722295"/>
          <a:ext cx="2470023" cy="885778"/>
        </a:xfrm>
        <a:prstGeom prst="roundRect">
          <a:avLst/>
        </a:prstGeom>
        <a:solidFill>
          <a:srgbClr val="007A88"/>
        </a:solidFill>
        <a:ln w="12700" cap="flat" cmpd="sng" algn="ctr">
          <a:solidFill>
            <a:srgbClr val="007A8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t>Funding</a:t>
          </a:r>
        </a:p>
      </dsp:txBody>
      <dsp:txXfrm>
        <a:off x="43240" y="3765535"/>
        <a:ext cx="2383543" cy="79929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Year-round delivery guidance</vt:lpstr>
    </vt:vector>
  </TitlesOfParts>
  <Manager>QUAD</Manager>
  <Company/>
  <LinksUpToDate>false</LinksUpToDate>
  <CharactersWithSpaces>8774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Year-round delivery guidance</dc:title>
  <dc:subject>Year round delivery</dc:subject>
  <dc:creator>Aminah Suhail</dc:creator>
  <cp:keywords>Year-round delivery guidance</cp:keywords>
  <dc:description/>
  <cp:lastModifiedBy>Suhail, Aminah</cp:lastModifiedBy>
  <cp:revision>8</cp:revision>
  <cp:lastPrinted>2021-05-04T15:09:00Z</cp:lastPrinted>
  <dcterms:created xsi:type="dcterms:W3CDTF">2023-11-06T15:18:00Z</dcterms:created>
  <dcterms:modified xsi:type="dcterms:W3CDTF">2025-07-23T15:50:00Z</dcterms:modified>
  <cp:category>Course Developments</cp:category>
</cp:coreProperties>
</file>