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0E8CD" w14:textId="586DA950" w:rsidR="00C222A3" w:rsidRPr="00C222A3" w:rsidRDefault="00C222A3" w:rsidP="00C222A3">
      <w:pPr>
        <w:shd w:val="clear" w:color="auto" w:fill="066684" w:themeFill="accent6" w:themeFillShade="BF"/>
        <w:spacing w:after="0"/>
        <w:rPr>
          <w:rFonts w:ascii="Arial Black" w:hAnsi="Arial Black" w:cs="Arial"/>
          <w:b/>
          <w:bCs/>
          <w:color w:val="FFFFFF" w:themeColor="background1"/>
          <w:sz w:val="36"/>
          <w:szCs w:val="36"/>
        </w:rPr>
      </w:pPr>
      <w:bookmarkStart w:id="0" w:name="_Hlk111453718"/>
      <w:r w:rsidRPr="00C222A3">
        <w:rPr>
          <w:rFonts w:ascii="Arial Black" w:hAnsi="Arial Black" w:cs="Arial"/>
          <w:b/>
          <w:bCs/>
          <w:color w:val="FFFFFF" w:themeColor="background1"/>
          <w:sz w:val="36"/>
          <w:szCs w:val="36"/>
        </w:rPr>
        <w:t>Approval and Reporting Rout</w:t>
      </w:r>
      <w:bookmarkStart w:id="1" w:name="Approval"/>
      <w:bookmarkEnd w:id="1"/>
      <w:r w:rsidRPr="00C222A3">
        <w:rPr>
          <w:rFonts w:ascii="Arial Black" w:hAnsi="Arial Black" w:cs="Arial"/>
          <w:b/>
          <w:bCs/>
          <w:color w:val="FFFFFF" w:themeColor="background1"/>
          <w:sz w:val="36"/>
          <w:szCs w:val="36"/>
        </w:rPr>
        <w:t>es – Student Progress</w:t>
      </w:r>
    </w:p>
    <w:bookmarkEnd w:id="0"/>
    <w:p w14:paraId="2E0936BC" w14:textId="6614578D" w:rsidR="0060450F" w:rsidRPr="00C222A3" w:rsidRDefault="0060450F" w:rsidP="0060450F">
      <w:pPr>
        <w:spacing w:after="240" w:line="240" w:lineRule="auto"/>
        <w:rPr>
          <w:rFonts w:ascii="Arial" w:hAnsi="Arial" w:cs="Arial"/>
          <w:b/>
          <w:bCs/>
          <w:color w:val="2A4F1C" w:themeColor="accent1" w:themeShade="80"/>
          <w:sz w:val="24"/>
          <w:szCs w:val="24"/>
        </w:rPr>
      </w:pPr>
      <w:r w:rsidRPr="00C222A3">
        <w:rPr>
          <w:rFonts w:ascii="Arial" w:hAnsi="Arial" w:cs="Arial"/>
          <w:sz w:val="24"/>
          <w:szCs w:val="24"/>
        </w:rPr>
        <w:t xml:space="preserve">Information on </w:t>
      </w:r>
      <w:r w:rsidRPr="00C222A3">
        <w:rPr>
          <w:rFonts w:ascii="Arial" w:hAnsi="Arial" w:cs="Arial"/>
          <w:color w:val="0D0D0D" w:themeColor="text1" w:themeTint="F2"/>
          <w:sz w:val="24"/>
          <w:szCs w:val="24"/>
        </w:rPr>
        <w:t xml:space="preserve">policies and procedures related to Student Progress can be accessed on the </w:t>
      </w:r>
      <w:hyperlink r:id="rId5" w:history="1">
        <w:r w:rsidRPr="00C222A3">
          <w:rPr>
            <w:rStyle w:val="Hyperlink"/>
            <w:rFonts w:ascii="Arial" w:hAnsi="Arial" w:cs="Arial"/>
            <w:color w:val="0D0D0D" w:themeColor="text1" w:themeTint="F2"/>
            <w:sz w:val="24"/>
            <w:szCs w:val="24"/>
          </w:rPr>
          <w:t>Student Progress team webpages</w:t>
        </w:r>
      </w:hyperlink>
      <w:r w:rsidRPr="00C222A3"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tbl>
      <w:tblPr>
        <w:tblStyle w:val="GridTable5Dark-Accent1"/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9"/>
        <w:gridCol w:w="3543"/>
        <w:gridCol w:w="3893"/>
        <w:gridCol w:w="2486"/>
        <w:gridCol w:w="2699"/>
      </w:tblGrid>
      <w:tr w:rsidR="00C222A3" w:rsidRPr="00C222A3" w14:paraId="68ADDB75" w14:textId="77777777" w:rsidTr="00C22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0D31D97F" w14:textId="51007773" w:rsidR="00AE4F51" w:rsidRPr="00C222A3" w:rsidRDefault="00C222A3" w:rsidP="00AE4F51">
            <w:pPr>
              <w:spacing w:before="120" w:after="12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Activity:</w:t>
            </w:r>
          </w:p>
        </w:tc>
        <w:tc>
          <w:tcPr>
            <w:tcW w:w="354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C71952F" w14:textId="6BEBC256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First considered by:</w:t>
            </w:r>
          </w:p>
        </w:tc>
        <w:tc>
          <w:tcPr>
            <w:tcW w:w="389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3C7500D2" w14:textId="75241143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Authority to approve recommendations:</w:t>
            </w:r>
          </w:p>
        </w:tc>
        <w:tc>
          <w:tcPr>
            <w:tcW w:w="248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FAD3C79" w14:textId="5EAA4D13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Onward reporting for information:</w:t>
            </w:r>
          </w:p>
        </w:tc>
        <w:tc>
          <w:tcPr>
            <w:tcW w:w="269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63F5D309" w14:textId="6198E2DD" w:rsidR="00AE4F51" w:rsidRPr="00C222A3" w:rsidRDefault="00AE4F51" w:rsidP="00AE4F51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Final record of decision:</w:t>
            </w:r>
          </w:p>
        </w:tc>
      </w:tr>
      <w:tr w:rsidR="00C222A3" w:rsidRPr="00C222A3" w14:paraId="7151E809" w14:textId="77777777" w:rsidTr="00C22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70C8F383" w14:textId="527E0815" w:rsidR="00AE4F51" w:rsidRPr="00C222A3" w:rsidRDefault="008A583C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Panel of members of Academic Offences Committees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6832EAE3" w14:textId="5B4E6D9B" w:rsidR="00AE4F51" w:rsidRPr="00C222A3" w:rsidRDefault="008A583C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Executive Dean, or their Deputy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046A01E0" w14:textId="32DD1B7D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71D6A811" w14:textId="45586612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2FA8F22" w14:textId="07DE15B1" w:rsidR="00AE4F51" w:rsidRPr="00C222A3" w:rsidRDefault="0095075E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</w:tr>
      <w:tr w:rsidR="00C222A3" w:rsidRPr="00C222A3" w14:paraId="2DE0101B" w14:textId="77777777" w:rsidTr="00C222A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</w:tcBorders>
            <w:shd w:val="clear" w:color="auto" w:fill="FFFFFF" w:themeFill="background1"/>
          </w:tcPr>
          <w:p w14:paraId="6E3F958E" w14:textId="2580B121" w:rsidR="00AE4F51" w:rsidRPr="00C222A3" w:rsidRDefault="008A583C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Reports from </w:t>
            </w:r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Research Students’ Progress </w:t>
            </w:r>
            <w:proofErr w:type="gramStart"/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Boards  (</w:t>
            </w:r>
            <w:proofErr w:type="gramEnd"/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RSPB) for PG research students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18596532" w14:textId="42EF9A7B" w:rsidR="00AE4F51" w:rsidRPr="00C222A3" w:rsidRDefault="008A583C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Department / </w:t>
            </w:r>
            <w:r w:rsidR="00AE4C95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RSPB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388BE557" w14:textId="110880C9" w:rsidR="00AE4F51" w:rsidRPr="00C222A3" w:rsidRDefault="008A583C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Faculty Dean </w:t>
            </w:r>
            <w:r w:rsidR="00D258D1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(Postgraduate</w:t>
            </w:r>
            <w:r w:rsidR="005F75CA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69E9FA98" w14:textId="2439D44E" w:rsidR="00AE4F51" w:rsidRPr="00C222A3" w:rsidRDefault="0095075E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N/A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503F77B4" w14:textId="1EEBCCC2" w:rsidR="00AE4F51" w:rsidRPr="00C222A3" w:rsidRDefault="00AE4C95" w:rsidP="0095075E">
            <w:pPr>
              <w:spacing w:before="240" w:after="2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Postgraduate Research Education Team / Department</w:t>
            </w:r>
          </w:p>
        </w:tc>
      </w:tr>
      <w:tr w:rsidR="00C222A3" w:rsidRPr="00C222A3" w14:paraId="1FF21FDF" w14:textId="77777777" w:rsidTr="00C22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7D69BE0" w14:textId="768BD1E5" w:rsidR="00AE4F51" w:rsidRPr="00C222A3" w:rsidRDefault="00AE4C95" w:rsidP="0095075E">
            <w:pPr>
              <w:spacing w:before="240" w:after="240"/>
              <w:jc w:val="center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Academic Offences Committee statistics (also Academic appeals and complaints</w:t>
            </w:r>
            <w:r w:rsidR="005F75CA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 and includes statistics from Partner Institutions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3543" w:type="dxa"/>
            <w:shd w:val="clear" w:color="auto" w:fill="FFFFFF" w:themeFill="background1"/>
            <w:vAlign w:val="center"/>
          </w:tcPr>
          <w:p w14:paraId="4F269F77" w14:textId="6047D773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Student Progress team for reporting to Academic Quality and Standards Committee (AQSC)</w:t>
            </w:r>
          </w:p>
        </w:tc>
        <w:tc>
          <w:tcPr>
            <w:tcW w:w="3893" w:type="dxa"/>
            <w:shd w:val="clear" w:color="auto" w:fill="FFFFFF" w:themeFill="background1"/>
            <w:vAlign w:val="center"/>
          </w:tcPr>
          <w:p w14:paraId="17C06FD3" w14:textId="155015FD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Key trends and areas for enhancement reported from AQSC to E</w:t>
            </w:r>
            <w:r w:rsidR="0095075E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 xml:space="preserve">ducation </w:t>
            </w: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C</w:t>
            </w:r>
            <w:r w:rsidR="0095075E"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ommittee (EC)</w:t>
            </w:r>
          </w:p>
        </w:tc>
        <w:tc>
          <w:tcPr>
            <w:tcW w:w="2486" w:type="dxa"/>
            <w:shd w:val="clear" w:color="auto" w:fill="FFFFFF" w:themeFill="background1"/>
            <w:vAlign w:val="center"/>
          </w:tcPr>
          <w:p w14:paraId="4C8EB217" w14:textId="5AD1407B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To relevant committee in line with their terms of reference</w:t>
            </w:r>
          </w:p>
        </w:tc>
        <w:tc>
          <w:tcPr>
            <w:tcW w:w="2699" w:type="dxa"/>
            <w:shd w:val="clear" w:color="auto" w:fill="FFFFFF" w:themeFill="background1"/>
            <w:vAlign w:val="center"/>
          </w:tcPr>
          <w:p w14:paraId="1952FE4A" w14:textId="5DB0AB60" w:rsidR="00AE4F51" w:rsidRPr="00C222A3" w:rsidRDefault="00AE4C95" w:rsidP="0095075E">
            <w:pPr>
              <w:spacing w:before="240" w:after="2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 w:rsidRPr="00C222A3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AQSC / EC Minutes</w:t>
            </w:r>
          </w:p>
        </w:tc>
      </w:tr>
    </w:tbl>
    <w:p w14:paraId="1A0AFEF5" w14:textId="38CA2A09" w:rsidR="00AE4F51" w:rsidRDefault="00AE4F51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BB64D9" w14:textId="3618C0E9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A69F8F" w14:textId="77777777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8080A0" w14:textId="2AD3534B" w:rsidR="004C238C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6804"/>
      </w:tblGrid>
      <w:tr w:rsidR="004C238C" w:rsidRPr="00B343C6" w14:paraId="045CAA08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E1BCB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owner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D0599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Quality and Academic Development Team</w:t>
            </w:r>
          </w:p>
        </w:tc>
      </w:tr>
      <w:tr w:rsidR="004C238C" w:rsidRPr="00B343C6" w14:paraId="57AF094A" w14:textId="77777777" w:rsidTr="003134EE">
        <w:trPr>
          <w:trHeight w:val="175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3BAA9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Document last reviewed by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CE9B8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rPr>
                <w:rFonts w:ascii="Arial" w:eastAsia="Arial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Hannah Nieuwenhuis</w:t>
            </w: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, Quality and Academic Development Manager</w:t>
            </w:r>
          </w:p>
        </w:tc>
      </w:tr>
      <w:tr w:rsidR="004C238C" w:rsidRPr="00B343C6" w14:paraId="28433563" w14:textId="77777777" w:rsidTr="003134EE">
        <w:trPr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446BA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Date last reviewed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A4E86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December 2022</w:t>
            </w:r>
          </w:p>
        </w:tc>
      </w:tr>
      <w:tr w:rsidR="004C238C" w:rsidRPr="00B343C6" w14:paraId="486D313D" w14:textId="77777777" w:rsidTr="003134EE">
        <w:trPr>
          <w:trHeight w:val="274"/>
          <w:jc w:val="center"/>
        </w:trPr>
        <w:tc>
          <w:tcPr>
            <w:tcW w:w="29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CE1D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Review frequency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6FC63" w14:textId="77777777" w:rsidR="004C238C" w:rsidRPr="00B343C6" w:rsidRDefault="004C238C" w:rsidP="003134EE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343C6">
              <w:rPr>
                <w:rFonts w:ascii="Arial" w:eastAsia="Times New Roman" w:hAnsi="Arial" w:cs="Arial"/>
                <w:sz w:val="20"/>
                <w:szCs w:val="20"/>
              </w:rPr>
              <w:t>Annually</w:t>
            </w:r>
          </w:p>
        </w:tc>
      </w:tr>
    </w:tbl>
    <w:p w14:paraId="082F1D92" w14:textId="77777777" w:rsidR="004C238C" w:rsidRPr="00C222A3" w:rsidRDefault="004C238C" w:rsidP="00414A8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C238C" w:rsidRPr="00C222A3" w:rsidSect="00A9005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F51"/>
    <w:rsid w:val="00414A8E"/>
    <w:rsid w:val="0045298B"/>
    <w:rsid w:val="004C238C"/>
    <w:rsid w:val="005F756D"/>
    <w:rsid w:val="005F75CA"/>
    <w:rsid w:val="0060450F"/>
    <w:rsid w:val="007012CE"/>
    <w:rsid w:val="007E51C6"/>
    <w:rsid w:val="008A583C"/>
    <w:rsid w:val="0095075E"/>
    <w:rsid w:val="00A90051"/>
    <w:rsid w:val="00A90E87"/>
    <w:rsid w:val="00AA53A7"/>
    <w:rsid w:val="00AE4C95"/>
    <w:rsid w:val="00AE4F51"/>
    <w:rsid w:val="00C222A3"/>
    <w:rsid w:val="00D258D1"/>
    <w:rsid w:val="00D62409"/>
    <w:rsid w:val="00D6483B"/>
    <w:rsid w:val="00D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2F814"/>
  <w15:chartTrackingRefBased/>
  <w15:docId w15:val="{A7243584-D947-4B1D-BDBE-276F4D58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E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1">
    <w:name w:val="Grid Table 2 Accent 1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3D07C" w:themeColor="accent1" w:themeTint="99"/>
        <w:bottom w:val="single" w:sz="2" w:space="0" w:color="93D07C" w:themeColor="accent1" w:themeTint="99"/>
        <w:insideH w:val="single" w:sz="2" w:space="0" w:color="93D07C" w:themeColor="accent1" w:themeTint="99"/>
        <w:insideV w:val="single" w:sz="2" w:space="0" w:color="93D0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D0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D0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2-Accent5">
    <w:name w:val="Grid Table 2 Accent 5"/>
    <w:basedOn w:val="TableNormal"/>
    <w:uiPriority w:val="47"/>
    <w:rsid w:val="00AE4F51"/>
    <w:pPr>
      <w:spacing w:after="0" w:line="240" w:lineRule="auto"/>
    </w:pPr>
    <w:tblPr>
      <w:tblStyleRowBandSize w:val="1"/>
      <w:tblStyleColBandSize w:val="1"/>
      <w:tblBorders>
        <w:top w:val="single" w:sz="2" w:space="0" w:color="92D2DB" w:themeColor="accent5" w:themeTint="99"/>
        <w:bottom w:val="single" w:sz="2" w:space="0" w:color="92D2DB" w:themeColor="accent5" w:themeTint="99"/>
        <w:insideH w:val="single" w:sz="2" w:space="0" w:color="92D2DB" w:themeColor="accent5" w:themeTint="99"/>
        <w:insideV w:val="single" w:sz="2" w:space="0" w:color="92D2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D2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D2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 w:themeFill="accent5" w:themeFillTint="33"/>
      </w:tcPr>
    </w:tblStylePr>
    <w:tblStylePr w:type="band1Horz">
      <w:tblPr/>
      <w:tcPr>
        <w:shd w:val="clear" w:color="auto" w:fill="DAF0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93D07C" w:themeColor="accent1" w:themeTint="99"/>
        <w:left w:val="single" w:sz="4" w:space="0" w:color="93D07C" w:themeColor="accent1" w:themeTint="99"/>
        <w:bottom w:val="single" w:sz="4" w:space="0" w:color="93D07C" w:themeColor="accent1" w:themeTint="99"/>
        <w:right w:val="single" w:sz="4" w:space="0" w:color="93D07C" w:themeColor="accent1" w:themeTint="99"/>
        <w:insideH w:val="single" w:sz="4" w:space="0" w:color="93D07C" w:themeColor="accent1" w:themeTint="99"/>
        <w:insideV w:val="single" w:sz="4" w:space="0" w:color="93D0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49E39" w:themeColor="accent1"/>
          <w:left w:val="single" w:sz="4" w:space="0" w:color="549E39" w:themeColor="accent1"/>
          <w:bottom w:val="single" w:sz="4" w:space="0" w:color="549E39" w:themeColor="accent1"/>
          <w:right w:val="single" w:sz="4" w:space="0" w:color="549E39" w:themeColor="accent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</w:rPr>
      <w:tblPr/>
      <w:tcPr>
        <w:tcBorders>
          <w:top w:val="double" w:sz="4" w:space="0" w:color="549E3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FD3" w:themeFill="accent1" w:themeFillTint="33"/>
      </w:tcPr>
    </w:tblStylePr>
    <w:tblStylePr w:type="band1Horz">
      <w:tblPr/>
      <w:tcPr>
        <w:shd w:val="clear" w:color="auto" w:fill="DAEFD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AE4F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F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49E3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49E39" w:themeFill="accent1"/>
      </w:tcPr>
    </w:tblStylePr>
    <w:tblStylePr w:type="band1Vert">
      <w:tblPr/>
      <w:tcPr>
        <w:shd w:val="clear" w:color="auto" w:fill="B7DFA8" w:themeFill="accent1" w:themeFillTint="66"/>
      </w:tcPr>
    </w:tblStylePr>
    <w:tblStylePr w:type="band1Horz">
      <w:tblPr/>
      <w:tcPr>
        <w:shd w:val="clear" w:color="auto" w:fill="B7DFA8" w:themeFill="accent1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900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0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450F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essex.ac.uk/staff/professional-services/student-progress-te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7F88B-507B-4A81-914D-050139E4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Progress Approval and Reporting Structures</dc:title>
  <dc:subject/>
  <dc:creator>QUAD</dc:creator>
  <cp:keywords>Student Progress Approval and Reporting Structures</cp:keywords>
  <dc:description/>
  <cp:lastModifiedBy>Nash, Luke T W</cp:lastModifiedBy>
  <cp:revision>2</cp:revision>
  <dcterms:created xsi:type="dcterms:W3CDTF">2023-10-13T12:13:00Z</dcterms:created>
  <dcterms:modified xsi:type="dcterms:W3CDTF">2023-10-13T12:13:00Z</dcterms:modified>
</cp:coreProperties>
</file>