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7797"/>
        <w:gridCol w:w="2669"/>
      </w:tblGrid>
      <w:tr w:rsidR="005B486D" w:rsidRPr="00BB3674" w14:paraId="68358040" w14:textId="77777777" w:rsidTr="00EA0797">
        <w:trPr>
          <w:trHeight w:hRule="exact" w:val="1950"/>
        </w:trPr>
        <w:tc>
          <w:tcPr>
            <w:tcW w:w="3725" w:type="pct"/>
            <w:tcBorders>
              <w:top w:val="nil"/>
              <w:left w:val="nil"/>
              <w:bottom w:val="nil"/>
              <w:right w:val="nil"/>
            </w:tcBorders>
            <w:shd w:val="clear" w:color="auto" w:fill="007A87"/>
            <w:vAlign w:val="center"/>
          </w:tcPr>
          <w:p w14:paraId="005315D7" w14:textId="77777777" w:rsidR="005B486D" w:rsidRPr="00EA0797" w:rsidRDefault="003C3516" w:rsidP="00BB3674">
            <w:pPr>
              <w:spacing w:after="0"/>
              <w:rPr>
                <w:rFonts w:ascii="Arial Black" w:hAnsi="Arial Black" w:cs="Arial"/>
                <w:color w:val="FFFFFF" w:themeColor="background1"/>
                <w:sz w:val="52"/>
                <w:szCs w:val="52"/>
              </w:rPr>
            </w:pPr>
            <w:r w:rsidRPr="00EA0797">
              <w:rPr>
                <w:rFonts w:ascii="Arial Black" w:hAnsi="Arial Black" w:cs="Arial"/>
                <w:color w:val="FFFFFF" w:themeColor="background1"/>
                <w:sz w:val="52"/>
                <w:szCs w:val="52"/>
              </w:rPr>
              <w:t>Programme specifications and module maps</w:t>
            </w:r>
          </w:p>
        </w:tc>
        <w:tc>
          <w:tcPr>
            <w:tcW w:w="1275" w:type="pct"/>
            <w:tcBorders>
              <w:top w:val="nil"/>
              <w:left w:val="nil"/>
              <w:bottom w:val="nil"/>
              <w:right w:val="nil"/>
            </w:tcBorders>
            <w:shd w:val="clear" w:color="auto" w:fill="007A87"/>
          </w:tcPr>
          <w:p w14:paraId="0E798D7C" w14:textId="77777777" w:rsidR="005B486D" w:rsidRPr="00BB3674" w:rsidRDefault="005B486D" w:rsidP="00BB3674">
            <w:pPr>
              <w:spacing w:before="120" w:after="120"/>
              <w:jc w:val="right"/>
              <w:rPr>
                <w:sz w:val="80"/>
                <w:szCs w:val="80"/>
              </w:rPr>
            </w:pPr>
            <w:r w:rsidRPr="00BB3674">
              <w:rPr>
                <w:noProof/>
                <w:sz w:val="80"/>
                <w:szCs w:val="80"/>
                <w:lang w:eastAsia="en-GB"/>
              </w:rPr>
              <w:drawing>
                <wp:inline distT="0" distB="0" distL="0" distR="0" wp14:anchorId="7A50F08D" wp14:editId="0308390A">
                  <wp:extent cx="1310092" cy="1373550"/>
                  <wp:effectExtent l="0" t="0" r="444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1312626" cy="1376207"/>
                          </a:xfrm>
                          <a:prstGeom prst="rect">
                            <a:avLst/>
                          </a:prstGeom>
                        </pic:spPr>
                      </pic:pic>
                    </a:graphicData>
                  </a:graphic>
                </wp:inline>
              </w:drawing>
            </w:r>
          </w:p>
        </w:tc>
      </w:tr>
      <w:tr w:rsidR="005B486D" w14:paraId="18EB542B" w14:textId="77777777" w:rsidTr="008B098A">
        <w:trPr>
          <w:cantSplit/>
          <w:trHeight w:hRule="exact" w:val="170"/>
        </w:trPr>
        <w:tc>
          <w:tcPr>
            <w:tcW w:w="5000" w:type="pct"/>
            <w:gridSpan w:val="2"/>
            <w:tcBorders>
              <w:top w:val="nil"/>
              <w:left w:val="nil"/>
              <w:bottom w:val="nil"/>
              <w:right w:val="nil"/>
            </w:tcBorders>
          </w:tcPr>
          <w:p w14:paraId="6785F3EA" w14:textId="77777777" w:rsidR="005B486D" w:rsidRDefault="005B486D"/>
        </w:tc>
      </w:tr>
      <w:tr w:rsidR="005B486D" w14:paraId="422C572D" w14:textId="77777777" w:rsidTr="00EA0797">
        <w:trPr>
          <w:trHeight w:hRule="exact" w:val="567"/>
        </w:trPr>
        <w:tc>
          <w:tcPr>
            <w:tcW w:w="5000" w:type="pct"/>
            <w:gridSpan w:val="2"/>
            <w:tcBorders>
              <w:top w:val="nil"/>
              <w:left w:val="nil"/>
              <w:bottom w:val="nil"/>
              <w:right w:val="nil"/>
            </w:tcBorders>
            <w:shd w:val="clear" w:color="auto" w:fill="007A87"/>
            <w:vAlign w:val="center"/>
          </w:tcPr>
          <w:p w14:paraId="1708A847" w14:textId="77777777" w:rsidR="005B486D" w:rsidRPr="00EA0797" w:rsidRDefault="00B8045F" w:rsidP="00B8045F">
            <w:pPr>
              <w:spacing w:after="0"/>
              <w:rPr>
                <w:rFonts w:ascii="Arial Black" w:hAnsi="Arial Black" w:cs="Arial"/>
                <w:b/>
                <w:color w:val="404040" w:themeColor="text1" w:themeTint="BF"/>
                <w:sz w:val="36"/>
                <w:szCs w:val="36"/>
              </w:rPr>
            </w:pPr>
            <w:r w:rsidRPr="00EA0797">
              <w:rPr>
                <w:rFonts w:ascii="Arial Black" w:hAnsi="Arial Black" w:cs="Arial"/>
                <w:b/>
                <w:color w:val="FFFFFF" w:themeColor="background1"/>
                <w:sz w:val="36"/>
                <w:szCs w:val="36"/>
              </w:rPr>
              <w:t>Undergraduate and postgraduate taught courses</w:t>
            </w:r>
          </w:p>
        </w:tc>
      </w:tr>
    </w:tbl>
    <w:p w14:paraId="3A1939B5" w14:textId="39FE861E" w:rsidR="00B8045F" w:rsidRPr="006D3C8C" w:rsidRDefault="00B8045F" w:rsidP="006D3C8C">
      <w:pPr>
        <w:spacing w:before="100" w:beforeAutospacing="1" w:after="100" w:afterAutospacing="1" w:line="360" w:lineRule="auto"/>
        <w:rPr>
          <w:rFonts w:ascii="Arial" w:eastAsia="Times New Roman" w:hAnsi="Arial" w:cs="Arial"/>
          <w:sz w:val="24"/>
          <w:szCs w:val="24"/>
          <w:lang w:eastAsia="en-GB"/>
        </w:rPr>
      </w:pPr>
      <w:r w:rsidRPr="006D3C8C">
        <w:rPr>
          <w:rFonts w:cstheme="minorHAnsi"/>
          <w:sz w:val="24"/>
          <w:szCs w:val="24"/>
        </w:rPr>
        <w:t>These notes should be used in conjunction with the appropriate</w:t>
      </w:r>
      <w:r w:rsidR="00A16A7F" w:rsidRPr="006D3C8C">
        <w:rPr>
          <w:rFonts w:cstheme="minorHAnsi"/>
          <w:sz w:val="24"/>
          <w:szCs w:val="24"/>
        </w:rPr>
        <w:t xml:space="preserve"> </w:t>
      </w:r>
      <w:hyperlink r:id="rId9" w:history="1">
        <w:r w:rsidRPr="006D3C8C">
          <w:rPr>
            <w:rFonts w:ascii="Arial" w:eastAsia="Times New Roman" w:hAnsi="Arial" w:cs="Arial"/>
            <w:b/>
            <w:bCs/>
            <w:color w:val="0000FF"/>
            <w:sz w:val="24"/>
            <w:szCs w:val="24"/>
            <w:lang w:eastAsia="en-GB"/>
          </w:rPr>
          <w:t>QAA Subject Benchmark Statement</w:t>
        </w:r>
      </w:hyperlink>
      <w:r w:rsidRPr="006D3C8C">
        <w:rPr>
          <w:rFonts w:ascii="Arial" w:eastAsia="Times New Roman" w:hAnsi="Arial" w:cs="Arial"/>
          <w:color w:val="0000FF"/>
          <w:sz w:val="24"/>
          <w:szCs w:val="24"/>
          <w:lang w:eastAsia="en-GB"/>
        </w:rPr>
        <w:t xml:space="preserve"> </w:t>
      </w:r>
      <w:r w:rsidRPr="006D3C8C">
        <w:rPr>
          <w:rFonts w:cstheme="minorHAnsi"/>
          <w:color w:val="404040" w:themeColor="text1" w:themeTint="BF"/>
          <w:sz w:val="24"/>
          <w:szCs w:val="24"/>
        </w:rPr>
        <w:t>and</w:t>
      </w:r>
      <w:r w:rsidRPr="006D3C8C">
        <w:rPr>
          <w:rFonts w:ascii="Arial" w:eastAsia="Times New Roman" w:hAnsi="Arial" w:cs="Arial"/>
          <w:sz w:val="24"/>
          <w:szCs w:val="24"/>
          <w:lang w:eastAsia="en-GB"/>
        </w:rPr>
        <w:t xml:space="preserve"> </w:t>
      </w:r>
      <w:hyperlink r:id="rId10" w:history="1">
        <w:r w:rsidRPr="006D3C8C">
          <w:rPr>
            <w:rFonts w:ascii="Arial" w:eastAsia="Times New Roman" w:hAnsi="Arial" w:cs="Arial"/>
            <w:b/>
            <w:bCs/>
            <w:color w:val="0000FF"/>
            <w:sz w:val="24"/>
            <w:szCs w:val="24"/>
            <w:lang w:eastAsia="en-GB"/>
          </w:rPr>
          <w:t>The QAA UK Quality Code for Higher Education</w:t>
        </w:r>
      </w:hyperlink>
      <w:r w:rsidRPr="006D3C8C">
        <w:rPr>
          <w:rFonts w:ascii="Arial" w:eastAsia="Times New Roman" w:hAnsi="Arial" w:cs="Arial"/>
          <w:color w:val="0000FF"/>
          <w:sz w:val="24"/>
          <w:szCs w:val="24"/>
          <w:lang w:eastAsia="en-GB"/>
        </w:rPr>
        <w:t>.</w:t>
      </w:r>
    </w:p>
    <w:p w14:paraId="74C79EDB" w14:textId="77777777" w:rsidR="00B8045F" w:rsidRPr="006D3C8C" w:rsidRDefault="00B8045F" w:rsidP="006D3C8C">
      <w:pPr>
        <w:pStyle w:val="Heading1"/>
        <w:spacing w:line="360" w:lineRule="auto"/>
        <w:rPr>
          <w:rFonts w:ascii="Arial Black" w:hAnsi="Arial Black"/>
          <w:color w:val="auto"/>
          <w:sz w:val="24"/>
          <w:szCs w:val="24"/>
        </w:rPr>
      </w:pPr>
      <w:r w:rsidRPr="006D3C8C">
        <w:rPr>
          <w:rFonts w:ascii="Arial Black" w:hAnsi="Arial Black"/>
          <w:color w:val="auto"/>
          <w:sz w:val="24"/>
          <w:szCs w:val="24"/>
        </w:rPr>
        <w:t>Programme Specifications</w:t>
      </w:r>
    </w:p>
    <w:p w14:paraId="29262A0D" w14:textId="7A419541" w:rsidR="00B8045F" w:rsidRPr="006D3C8C" w:rsidRDefault="00B8045F" w:rsidP="006D3C8C">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t>When designing a new course, the information contained in programme specifications is included on the new forms. There is therefore no need to submit a separate programme specification</w:t>
      </w:r>
      <w:r w:rsidR="001276F8" w:rsidRPr="006D3C8C">
        <w:rPr>
          <w:rFonts w:cstheme="minorHAnsi"/>
          <w:color w:val="000000" w:themeColor="text1"/>
          <w:sz w:val="24"/>
          <w:szCs w:val="24"/>
        </w:rPr>
        <w:t xml:space="preserve"> for most new courses</w:t>
      </w:r>
      <w:r w:rsidRPr="006D3C8C">
        <w:rPr>
          <w:rFonts w:cstheme="minorHAnsi"/>
          <w:color w:val="000000" w:themeColor="text1"/>
          <w:sz w:val="24"/>
          <w:szCs w:val="24"/>
        </w:rPr>
        <w:t>.</w:t>
      </w:r>
      <w:r w:rsidR="001276F8" w:rsidRPr="006D3C8C">
        <w:rPr>
          <w:rFonts w:cstheme="minorHAnsi"/>
          <w:color w:val="000000" w:themeColor="text1"/>
          <w:sz w:val="24"/>
          <w:szCs w:val="24"/>
        </w:rPr>
        <w:t xml:space="preserve"> A programme specification may still be requested (for example by a professional body or for validation events). </w:t>
      </w:r>
      <w:r w:rsidRPr="006D3C8C">
        <w:rPr>
          <w:rFonts w:cstheme="minorHAnsi"/>
          <w:color w:val="000000" w:themeColor="text1"/>
          <w:sz w:val="24"/>
          <w:szCs w:val="24"/>
        </w:rPr>
        <w:t>A module map is still required.</w:t>
      </w:r>
    </w:p>
    <w:p w14:paraId="3827FD2E" w14:textId="7BB3D607" w:rsidR="00B8045F" w:rsidRPr="006D3C8C" w:rsidRDefault="00342177" w:rsidP="006D3C8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hyperlink r:id="rId11" w:history="1">
        <w:r w:rsidR="00B8045F" w:rsidRPr="006D3C8C">
          <w:rPr>
            <w:rStyle w:val="Hyperlink"/>
            <w:rFonts w:eastAsia="Times New Roman"/>
            <w:bCs/>
            <w:sz w:val="24"/>
            <w:szCs w:val="24"/>
          </w:rPr>
          <w:t>Programme specification</w:t>
        </w:r>
      </w:hyperlink>
      <w:r w:rsidR="00213ECA" w:rsidRPr="006D3C8C">
        <w:rPr>
          <w:rFonts w:eastAsia="Times New Roman"/>
          <w:bCs/>
          <w:sz w:val="24"/>
          <w:szCs w:val="24"/>
        </w:rPr>
        <w:t xml:space="preserve"> and </w:t>
      </w:r>
      <w:hyperlink r:id="rId12" w:history="1">
        <w:r w:rsidR="00213ECA" w:rsidRPr="006D3C8C">
          <w:rPr>
            <w:rStyle w:val="Hyperlink"/>
            <w:rFonts w:eastAsia="Times New Roman"/>
            <w:bCs/>
            <w:sz w:val="24"/>
            <w:szCs w:val="24"/>
          </w:rPr>
          <w:t>module map</w:t>
        </w:r>
      </w:hyperlink>
      <w:r w:rsidR="00213ECA" w:rsidRPr="006D3C8C">
        <w:rPr>
          <w:rFonts w:eastAsia="Times New Roman"/>
          <w:bCs/>
          <w:sz w:val="24"/>
          <w:szCs w:val="24"/>
        </w:rPr>
        <w:t xml:space="preserve"> templates</w:t>
      </w:r>
    </w:p>
    <w:p w14:paraId="712899FC" w14:textId="77777777" w:rsidR="00B8045F" w:rsidRPr="006D3C8C" w:rsidRDefault="00B8045F" w:rsidP="006D3C8C">
      <w:pPr>
        <w:pStyle w:val="Heading2"/>
        <w:spacing w:line="360" w:lineRule="auto"/>
        <w:rPr>
          <w:rFonts w:ascii="Arial Black" w:hAnsi="Arial Black"/>
          <w:color w:val="auto"/>
        </w:rPr>
      </w:pPr>
      <w:r w:rsidRPr="006D3C8C">
        <w:rPr>
          <w:rFonts w:ascii="Arial Black" w:hAnsi="Arial Black"/>
          <w:color w:val="auto"/>
        </w:rPr>
        <w:t>Section A</w:t>
      </w:r>
    </w:p>
    <w:p w14:paraId="3DA8554E" w14:textId="77777777" w:rsidR="00B8045F" w:rsidRPr="006D3C8C" w:rsidRDefault="009640A4" w:rsidP="006D3C8C">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t>Pro</w:t>
      </w:r>
      <w:r w:rsidR="00B8045F" w:rsidRPr="006D3C8C">
        <w:rPr>
          <w:rFonts w:cstheme="minorHAnsi"/>
          <w:color w:val="000000" w:themeColor="text1"/>
          <w:sz w:val="24"/>
          <w:szCs w:val="24"/>
        </w:rPr>
        <w:t>vides standard details of the course; awarding body/institution; teaching institution; accreditation details (where appropriate); final award; course title; UCAS code; relevant QAA benchmark group(s); admissions criteria; and publication/revision date.</w:t>
      </w:r>
    </w:p>
    <w:p w14:paraId="7DDD5571" w14:textId="77777777" w:rsidR="00B8045F" w:rsidRPr="006D3C8C" w:rsidRDefault="00B8045F" w:rsidP="006D3C8C">
      <w:pPr>
        <w:pStyle w:val="Heading3"/>
        <w:spacing w:line="360" w:lineRule="auto"/>
        <w:rPr>
          <w:rFonts w:ascii="Arial Black" w:hAnsi="Arial Black"/>
          <w:color w:val="auto"/>
          <w:sz w:val="24"/>
          <w:szCs w:val="24"/>
        </w:rPr>
      </w:pPr>
      <w:r w:rsidRPr="006D3C8C">
        <w:rPr>
          <w:rFonts w:ascii="Arial Black" w:hAnsi="Arial Black"/>
          <w:color w:val="auto"/>
          <w:sz w:val="24"/>
          <w:szCs w:val="24"/>
        </w:rPr>
        <w:t>Course titles</w:t>
      </w:r>
    </w:p>
    <w:p w14:paraId="2F23D486" w14:textId="77777777" w:rsidR="00B8045F" w:rsidRPr="006D3C8C" w:rsidRDefault="00B8045F" w:rsidP="006D3C8C">
      <w:pPr>
        <w:pStyle w:val="Heading4"/>
        <w:spacing w:after="120" w:line="360" w:lineRule="auto"/>
        <w:rPr>
          <w:color w:val="007A87"/>
          <w:sz w:val="24"/>
          <w:szCs w:val="24"/>
        </w:rPr>
      </w:pPr>
      <w:r w:rsidRPr="006D3C8C">
        <w:rPr>
          <w:color w:val="007A87"/>
          <w:sz w:val="24"/>
          <w:szCs w:val="24"/>
        </w:rPr>
        <w:t>Adding a placement year</w:t>
      </w:r>
      <w:r w:rsidR="00052658" w:rsidRPr="006D3C8C">
        <w:rPr>
          <w:color w:val="007A87"/>
          <w:sz w:val="24"/>
          <w:szCs w:val="24"/>
        </w:rPr>
        <w:t xml:space="preserve">, </w:t>
      </w:r>
      <w:r w:rsidRPr="006D3C8C">
        <w:rPr>
          <w:color w:val="007A87"/>
          <w:sz w:val="24"/>
          <w:szCs w:val="24"/>
        </w:rPr>
        <w:t>year abroad</w:t>
      </w:r>
      <w:r w:rsidR="00052658" w:rsidRPr="006D3C8C">
        <w:rPr>
          <w:color w:val="007A87"/>
          <w:sz w:val="24"/>
          <w:szCs w:val="24"/>
        </w:rPr>
        <w:t xml:space="preserve"> or foundation year</w:t>
      </w:r>
      <w:r w:rsidRPr="006D3C8C">
        <w:rPr>
          <w:color w:val="007A87"/>
          <w:sz w:val="24"/>
          <w:szCs w:val="24"/>
        </w:rPr>
        <w:t xml:space="preserve"> to an existing three-year course</w:t>
      </w:r>
    </w:p>
    <w:p w14:paraId="0C9CF7EB" w14:textId="77777777" w:rsidR="00052658" w:rsidRPr="006D3C8C" w:rsidRDefault="00B8045F" w:rsidP="006D3C8C">
      <w:pPr>
        <w:spacing w:before="120" w:after="100" w:afterAutospacing="1" w:line="360" w:lineRule="auto"/>
        <w:rPr>
          <w:rFonts w:cstheme="minorHAnsi"/>
          <w:color w:val="000000" w:themeColor="text1"/>
          <w:sz w:val="24"/>
          <w:szCs w:val="24"/>
        </w:rPr>
      </w:pPr>
      <w:r w:rsidRPr="006D3C8C">
        <w:rPr>
          <w:rFonts w:cstheme="minorHAnsi"/>
          <w:color w:val="000000" w:themeColor="text1"/>
          <w:sz w:val="24"/>
          <w:szCs w:val="24"/>
        </w:rPr>
        <w:t>Where there are opportunities for students to add a placement year</w:t>
      </w:r>
      <w:r w:rsidR="00052658" w:rsidRPr="006D3C8C">
        <w:rPr>
          <w:rFonts w:cstheme="minorHAnsi"/>
          <w:color w:val="000000" w:themeColor="text1"/>
          <w:sz w:val="24"/>
          <w:szCs w:val="24"/>
        </w:rPr>
        <w:t xml:space="preserve">, </w:t>
      </w:r>
      <w:r w:rsidRPr="006D3C8C">
        <w:rPr>
          <w:rFonts w:cstheme="minorHAnsi"/>
          <w:color w:val="000000" w:themeColor="text1"/>
          <w:sz w:val="24"/>
          <w:szCs w:val="24"/>
        </w:rPr>
        <w:t xml:space="preserve">year abroad </w:t>
      </w:r>
      <w:r w:rsidR="00052658" w:rsidRPr="006D3C8C">
        <w:rPr>
          <w:rFonts w:cstheme="minorHAnsi"/>
          <w:color w:val="000000" w:themeColor="text1"/>
          <w:sz w:val="24"/>
          <w:szCs w:val="24"/>
        </w:rPr>
        <w:t xml:space="preserve">or foundation year </w:t>
      </w:r>
      <w:r w:rsidRPr="006D3C8C">
        <w:rPr>
          <w:rFonts w:cstheme="minorHAnsi"/>
          <w:color w:val="000000" w:themeColor="text1"/>
          <w:sz w:val="24"/>
          <w:szCs w:val="24"/>
        </w:rPr>
        <w:t>to their course, the course title should be the same as the three-year version, with the addition of</w:t>
      </w:r>
      <w:r w:rsidR="00052658" w:rsidRPr="006D3C8C">
        <w:rPr>
          <w:rFonts w:cstheme="minorHAnsi"/>
          <w:color w:val="000000" w:themeColor="text1"/>
          <w:sz w:val="24"/>
          <w:szCs w:val="24"/>
        </w:rPr>
        <w:t xml:space="preserve"> the following to the title as appropriate:</w:t>
      </w:r>
    </w:p>
    <w:p w14:paraId="7CDFA0AC" w14:textId="77777777" w:rsidR="00052658" w:rsidRPr="006D3C8C" w:rsidRDefault="00052658" w:rsidP="006D3C8C">
      <w:pPr>
        <w:pStyle w:val="ListParagraph"/>
        <w:numPr>
          <w:ilvl w:val="0"/>
          <w:numId w:val="2"/>
        </w:numPr>
        <w:spacing w:before="120" w:after="120" w:line="360" w:lineRule="auto"/>
        <w:ind w:left="357" w:right="567" w:hanging="357"/>
        <w:contextualSpacing w:val="0"/>
        <w:outlineLvl w:val="0"/>
        <w:rPr>
          <w:rFonts w:eastAsia="Times New Roman"/>
          <w:bCs/>
          <w:color w:val="000000" w:themeColor="text1"/>
          <w:sz w:val="24"/>
          <w:szCs w:val="24"/>
        </w:rPr>
      </w:pPr>
      <w:r w:rsidRPr="006D3C8C">
        <w:rPr>
          <w:rFonts w:eastAsia="Times New Roman"/>
          <w:bCs/>
          <w:color w:val="000000" w:themeColor="text1"/>
          <w:sz w:val="24"/>
          <w:szCs w:val="24"/>
        </w:rPr>
        <w:t>(including placement year)</w:t>
      </w:r>
    </w:p>
    <w:p w14:paraId="2A23F06E" w14:textId="77777777" w:rsidR="00B8045F" w:rsidRPr="006D3C8C" w:rsidRDefault="00B8045F" w:rsidP="006D3C8C">
      <w:pPr>
        <w:pStyle w:val="ListParagraph"/>
        <w:numPr>
          <w:ilvl w:val="0"/>
          <w:numId w:val="2"/>
        </w:numPr>
        <w:spacing w:before="120" w:after="120" w:line="360" w:lineRule="auto"/>
        <w:ind w:left="357" w:right="567" w:hanging="357"/>
        <w:contextualSpacing w:val="0"/>
        <w:outlineLvl w:val="0"/>
        <w:rPr>
          <w:rFonts w:eastAsia="Times New Roman"/>
          <w:bCs/>
          <w:color w:val="000000" w:themeColor="text1"/>
          <w:sz w:val="24"/>
          <w:szCs w:val="24"/>
        </w:rPr>
      </w:pPr>
      <w:r w:rsidRPr="006D3C8C">
        <w:rPr>
          <w:rFonts w:eastAsia="Times New Roman"/>
          <w:bCs/>
          <w:color w:val="000000" w:themeColor="text1"/>
          <w:sz w:val="24"/>
          <w:szCs w:val="24"/>
        </w:rPr>
        <w:t>(including year abroad)</w:t>
      </w:r>
    </w:p>
    <w:p w14:paraId="3FCB6EDF" w14:textId="77777777" w:rsidR="00052658" w:rsidRPr="006D3C8C" w:rsidRDefault="00052658" w:rsidP="006D3C8C">
      <w:pPr>
        <w:pStyle w:val="ListParagraph"/>
        <w:numPr>
          <w:ilvl w:val="0"/>
          <w:numId w:val="2"/>
        </w:numPr>
        <w:spacing w:before="120" w:after="120" w:line="360" w:lineRule="auto"/>
        <w:ind w:left="357" w:right="567" w:hanging="357"/>
        <w:contextualSpacing w:val="0"/>
        <w:outlineLvl w:val="0"/>
        <w:rPr>
          <w:rFonts w:eastAsia="Times New Roman"/>
          <w:bCs/>
          <w:color w:val="000000" w:themeColor="text1"/>
          <w:sz w:val="24"/>
          <w:szCs w:val="24"/>
        </w:rPr>
      </w:pPr>
      <w:r w:rsidRPr="006D3C8C">
        <w:rPr>
          <w:rFonts w:eastAsia="Times New Roman"/>
          <w:bCs/>
          <w:color w:val="000000" w:themeColor="text1"/>
          <w:sz w:val="24"/>
          <w:szCs w:val="24"/>
        </w:rPr>
        <w:t>(including foundation year)</w:t>
      </w:r>
    </w:p>
    <w:p w14:paraId="7A6942B7" w14:textId="77777777" w:rsidR="00B8045F" w:rsidRPr="006D3C8C" w:rsidRDefault="00052658" w:rsidP="006D3C8C">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t xml:space="preserve">This is only the case where these </w:t>
      </w:r>
      <w:r w:rsidR="00B8045F" w:rsidRPr="006D3C8C">
        <w:rPr>
          <w:rFonts w:cstheme="minorHAnsi"/>
          <w:color w:val="000000" w:themeColor="text1"/>
          <w:sz w:val="24"/>
          <w:szCs w:val="24"/>
        </w:rPr>
        <w:t xml:space="preserve">versions of the course are identical to the three-year </w:t>
      </w:r>
      <w:r w:rsidRPr="006D3C8C">
        <w:rPr>
          <w:rFonts w:cstheme="minorHAnsi"/>
          <w:color w:val="000000" w:themeColor="text1"/>
          <w:sz w:val="24"/>
          <w:szCs w:val="24"/>
        </w:rPr>
        <w:t xml:space="preserve">version in every other respect. </w:t>
      </w:r>
      <w:r w:rsidR="00B8045F" w:rsidRPr="006D3C8C">
        <w:rPr>
          <w:rFonts w:cstheme="minorHAnsi"/>
          <w:color w:val="000000" w:themeColor="text1"/>
          <w:sz w:val="24"/>
          <w:szCs w:val="24"/>
        </w:rPr>
        <w:t xml:space="preserve"> This helps to make the connection between the three-year and four-year </w:t>
      </w:r>
      <w:r w:rsidR="00B8045F" w:rsidRPr="006D3C8C">
        <w:rPr>
          <w:rFonts w:cstheme="minorHAnsi"/>
          <w:color w:val="000000" w:themeColor="text1"/>
          <w:sz w:val="24"/>
          <w:szCs w:val="24"/>
        </w:rPr>
        <w:lastRenderedPageBreak/>
        <w:t>versions clear, and links to progression decisions that are possible under the Rules of Assessment.</w:t>
      </w:r>
    </w:p>
    <w:p w14:paraId="3331614A" w14:textId="77777777" w:rsidR="00B8045F" w:rsidRPr="006D3C8C" w:rsidRDefault="00B8045F" w:rsidP="006D3C8C">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t>Course aims and outcomes should reflect these elements of the course in comparison with the three-year version.</w:t>
      </w:r>
    </w:p>
    <w:p w14:paraId="086E22A3" w14:textId="77777777" w:rsidR="00B8045F" w:rsidRPr="006D3C8C" w:rsidRDefault="00B8045F" w:rsidP="006D3C8C">
      <w:pPr>
        <w:pStyle w:val="Heading4"/>
        <w:spacing w:after="120" w:line="360" w:lineRule="auto"/>
        <w:rPr>
          <w:color w:val="007A87"/>
          <w:sz w:val="24"/>
          <w:szCs w:val="24"/>
        </w:rPr>
      </w:pPr>
      <w:r w:rsidRPr="006D3C8C">
        <w:rPr>
          <w:color w:val="007A87"/>
          <w:sz w:val="24"/>
          <w:szCs w:val="24"/>
        </w:rPr>
        <w:t>Courses with a core placement year or year abroad</w:t>
      </w:r>
    </w:p>
    <w:p w14:paraId="4569D04F" w14:textId="6E0BBA60" w:rsidR="009640A4" w:rsidRPr="006D3C8C" w:rsidRDefault="00B8045F" w:rsidP="006D3C8C">
      <w:pPr>
        <w:spacing w:before="120" w:after="100" w:afterAutospacing="1" w:line="360" w:lineRule="auto"/>
        <w:rPr>
          <w:rFonts w:cstheme="minorHAnsi"/>
          <w:sz w:val="24"/>
          <w:szCs w:val="24"/>
        </w:rPr>
      </w:pPr>
      <w:r w:rsidRPr="006D3C8C">
        <w:rPr>
          <w:rFonts w:cstheme="minorHAnsi"/>
          <w:sz w:val="24"/>
          <w:szCs w:val="24"/>
        </w:rPr>
        <w:t>Where a placement year or year abroad is a core requirement of the course, and it is not possible to take or pass the course as a three-year version without a placement or year abroad, the course title should not include the same additional wording described above.</w:t>
      </w:r>
    </w:p>
    <w:p w14:paraId="07694A35" w14:textId="77777777" w:rsidR="00B8045F" w:rsidRPr="006D3C8C" w:rsidRDefault="00B8045F" w:rsidP="006D3C8C">
      <w:pPr>
        <w:pStyle w:val="Heading2"/>
        <w:spacing w:line="360" w:lineRule="auto"/>
        <w:rPr>
          <w:rFonts w:ascii="Arial Black" w:hAnsi="Arial Black"/>
          <w:color w:val="auto"/>
        </w:rPr>
      </w:pPr>
      <w:r w:rsidRPr="006D3C8C">
        <w:rPr>
          <w:rFonts w:ascii="Arial Black" w:hAnsi="Arial Black"/>
          <w:color w:val="auto"/>
        </w:rPr>
        <w:t>Section B</w:t>
      </w:r>
    </w:p>
    <w:p w14:paraId="6D508F1F" w14:textId="77777777" w:rsidR="00B8045F" w:rsidRPr="006D3C8C" w:rsidRDefault="00B8045F" w:rsidP="006D3C8C">
      <w:pPr>
        <w:spacing w:before="100" w:beforeAutospacing="1" w:after="100" w:afterAutospacing="1" w:line="360" w:lineRule="auto"/>
        <w:rPr>
          <w:rFonts w:cstheme="minorHAnsi"/>
          <w:sz w:val="24"/>
          <w:szCs w:val="24"/>
        </w:rPr>
      </w:pPr>
      <w:r w:rsidRPr="006D3C8C">
        <w:rPr>
          <w:rFonts w:cstheme="minorHAnsi"/>
          <w:sz w:val="24"/>
          <w:szCs w:val="24"/>
        </w:rPr>
        <w:t>Provides a concise overview of the curriculum provision in the course, identifying the course aims, the course learning outcomes and the corresponding methods of learning, teaching and assessment. </w:t>
      </w:r>
    </w:p>
    <w:p w14:paraId="468F771F" w14:textId="77777777" w:rsidR="00B8045F" w:rsidRPr="006D3C8C" w:rsidRDefault="00427B52" w:rsidP="006D3C8C">
      <w:pPr>
        <w:spacing w:before="100" w:beforeAutospacing="1" w:after="100" w:afterAutospacing="1" w:line="360" w:lineRule="auto"/>
        <w:rPr>
          <w:rFonts w:cstheme="minorHAnsi"/>
          <w:color w:val="404040" w:themeColor="text1" w:themeTint="BF"/>
          <w:sz w:val="24"/>
          <w:szCs w:val="24"/>
        </w:rPr>
      </w:pPr>
      <w:r w:rsidRPr="006D3C8C">
        <w:rPr>
          <w:rFonts w:cstheme="minorHAnsi"/>
          <w:sz w:val="24"/>
          <w:szCs w:val="24"/>
        </w:rPr>
        <w:t>C</w:t>
      </w:r>
      <w:r w:rsidR="00B8045F" w:rsidRPr="006D3C8C">
        <w:rPr>
          <w:rFonts w:cstheme="minorHAnsi"/>
          <w:sz w:val="24"/>
          <w:szCs w:val="24"/>
        </w:rPr>
        <w:t>ourse aims and outcomes must be suitable for the course and must relate to the benchmark statements, the</w:t>
      </w:r>
      <w:r w:rsidR="00B8045F" w:rsidRPr="006D3C8C">
        <w:rPr>
          <w:rFonts w:ascii="Arial" w:eastAsia="Times New Roman" w:hAnsi="Arial" w:cs="Arial"/>
          <w:sz w:val="24"/>
          <w:szCs w:val="24"/>
          <w:lang w:eastAsia="en-GB"/>
        </w:rPr>
        <w:t xml:space="preserve"> </w:t>
      </w:r>
      <w:hyperlink r:id="rId13" w:history="1">
        <w:r w:rsidR="00B8045F" w:rsidRPr="006D3C8C">
          <w:rPr>
            <w:rStyle w:val="Hyperlink"/>
            <w:rFonts w:ascii="Arial" w:eastAsia="Times New Roman" w:hAnsi="Arial" w:cs="Arial"/>
            <w:sz w:val="24"/>
            <w:szCs w:val="24"/>
            <w:lang w:eastAsia="en-GB"/>
          </w:rPr>
          <w:t>National Qualification Frameworks</w:t>
        </w:r>
      </w:hyperlink>
      <w:r w:rsidR="00B8045F" w:rsidRPr="006D3C8C">
        <w:rPr>
          <w:rFonts w:ascii="Arial" w:eastAsia="Times New Roman" w:hAnsi="Arial" w:cs="Arial"/>
          <w:sz w:val="24"/>
          <w:szCs w:val="24"/>
          <w:lang w:eastAsia="en-GB"/>
        </w:rPr>
        <w:t xml:space="preserve"> </w:t>
      </w:r>
      <w:r w:rsidR="00B8045F" w:rsidRPr="006D3C8C">
        <w:rPr>
          <w:rFonts w:cstheme="minorHAnsi"/>
          <w:sz w:val="24"/>
          <w:szCs w:val="24"/>
        </w:rPr>
        <w:t>and, where appropriate, to the requirements of any professional bodies.</w:t>
      </w:r>
    </w:p>
    <w:p w14:paraId="08D9B89B" w14:textId="77777777" w:rsidR="00427B52" w:rsidRPr="006D3C8C" w:rsidRDefault="00342177" w:rsidP="006D3C8C">
      <w:pPr>
        <w:spacing w:before="100" w:beforeAutospacing="1" w:after="100" w:afterAutospacing="1" w:line="360" w:lineRule="auto"/>
        <w:rPr>
          <w:rFonts w:cstheme="minorHAnsi"/>
          <w:sz w:val="24"/>
          <w:szCs w:val="24"/>
        </w:rPr>
      </w:pPr>
      <w:hyperlink r:id="rId14" w:history="1">
        <w:r w:rsidR="00427B52" w:rsidRPr="006D3C8C">
          <w:rPr>
            <w:rStyle w:val="Hyperlink"/>
            <w:sz w:val="24"/>
            <w:szCs w:val="24"/>
          </w:rPr>
          <w:t>Organisational Development</w:t>
        </w:r>
      </w:hyperlink>
      <w:r w:rsidR="00427B52" w:rsidRPr="006D3C8C">
        <w:rPr>
          <w:sz w:val="24"/>
          <w:szCs w:val="24"/>
        </w:rPr>
        <w:t xml:space="preserve"> </w:t>
      </w:r>
      <w:r w:rsidR="00427B52" w:rsidRPr="006D3C8C">
        <w:rPr>
          <w:rFonts w:cstheme="minorHAnsi"/>
          <w:sz w:val="24"/>
          <w:szCs w:val="24"/>
        </w:rPr>
        <w:t>can also provide guidance on writing learning outcomes at programme and module level.</w:t>
      </w:r>
    </w:p>
    <w:p w14:paraId="238BCBB5" w14:textId="77777777" w:rsidR="00B8045F" w:rsidRPr="006D3C8C" w:rsidRDefault="00427B52" w:rsidP="006D3C8C">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t>Departments should ensure s</w:t>
      </w:r>
      <w:r w:rsidR="00B8045F" w:rsidRPr="006D3C8C">
        <w:rPr>
          <w:rFonts w:cstheme="minorHAnsi"/>
          <w:color w:val="000000" w:themeColor="text1"/>
          <w:sz w:val="24"/>
          <w:szCs w:val="24"/>
        </w:rPr>
        <w:t xml:space="preserve">tudents and </w:t>
      </w:r>
      <w:r w:rsidRPr="006D3C8C">
        <w:rPr>
          <w:rFonts w:cstheme="minorHAnsi"/>
          <w:color w:val="000000" w:themeColor="text1"/>
          <w:sz w:val="24"/>
          <w:szCs w:val="24"/>
        </w:rPr>
        <w:t xml:space="preserve">all </w:t>
      </w:r>
      <w:r w:rsidR="00B8045F" w:rsidRPr="006D3C8C">
        <w:rPr>
          <w:rFonts w:cstheme="minorHAnsi"/>
          <w:color w:val="000000" w:themeColor="text1"/>
          <w:sz w:val="24"/>
          <w:szCs w:val="24"/>
        </w:rPr>
        <w:t xml:space="preserve">teaching staff are </w:t>
      </w:r>
      <w:r w:rsidRPr="006D3C8C">
        <w:rPr>
          <w:rFonts w:cstheme="minorHAnsi"/>
          <w:color w:val="000000" w:themeColor="text1"/>
          <w:sz w:val="24"/>
          <w:szCs w:val="24"/>
        </w:rPr>
        <w:t xml:space="preserve">made </w:t>
      </w:r>
      <w:r w:rsidR="00B8045F" w:rsidRPr="006D3C8C">
        <w:rPr>
          <w:rFonts w:cstheme="minorHAnsi"/>
          <w:color w:val="000000" w:themeColor="text1"/>
          <w:sz w:val="24"/>
          <w:szCs w:val="24"/>
        </w:rPr>
        <w:t xml:space="preserve">aware of </w:t>
      </w:r>
      <w:r w:rsidRPr="006D3C8C">
        <w:rPr>
          <w:rFonts w:cstheme="minorHAnsi"/>
          <w:color w:val="000000" w:themeColor="text1"/>
          <w:sz w:val="24"/>
          <w:szCs w:val="24"/>
        </w:rPr>
        <w:t xml:space="preserve">the aims and learning outcomes.  </w:t>
      </w:r>
      <w:r w:rsidR="00B8045F" w:rsidRPr="006D3C8C">
        <w:rPr>
          <w:rFonts w:cstheme="minorHAnsi"/>
          <w:color w:val="000000" w:themeColor="text1"/>
          <w:sz w:val="24"/>
          <w:szCs w:val="24"/>
        </w:rPr>
        <w:t>Students should also be made aware of how to access the full programme specification, such as through reference in student handbooks and links from departmental web resources.</w:t>
      </w:r>
    </w:p>
    <w:p w14:paraId="4512977A" w14:textId="77777777" w:rsidR="00B8045F" w:rsidRPr="006D3C8C" w:rsidRDefault="00B8045F" w:rsidP="006D3C8C">
      <w:pPr>
        <w:pStyle w:val="Heading4"/>
        <w:spacing w:after="120" w:line="360" w:lineRule="auto"/>
        <w:rPr>
          <w:color w:val="007A87"/>
          <w:sz w:val="24"/>
          <w:szCs w:val="24"/>
        </w:rPr>
      </w:pPr>
      <w:r w:rsidRPr="006D3C8C">
        <w:rPr>
          <w:color w:val="007A87"/>
          <w:sz w:val="24"/>
          <w:szCs w:val="24"/>
        </w:rPr>
        <w:t>What is meant by the course aim?</w:t>
      </w:r>
    </w:p>
    <w:p w14:paraId="7549EA0D" w14:textId="77777777" w:rsidR="00B8045F" w:rsidRPr="006D3C8C" w:rsidRDefault="00B8045F" w:rsidP="006D3C8C">
      <w:pPr>
        <w:spacing w:before="120" w:after="100" w:afterAutospacing="1" w:line="360" w:lineRule="auto"/>
        <w:rPr>
          <w:rFonts w:cstheme="minorHAnsi"/>
          <w:color w:val="000000" w:themeColor="text1"/>
          <w:sz w:val="24"/>
          <w:szCs w:val="24"/>
        </w:rPr>
      </w:pPr>
      <w:r w:rsidRPr="006D3C8C">
        <w:rPr>
          <w:rFonts w:cstheme="minorHAnsi"/>
          <w:color w:val="000000" w:themeColor="text1"/>
          <w:sz w:val="24"/>
          <w:szCs w:val="24"/>
        </w:rPr>
        <w:t>Course aims are intended to provide a clear understanding of the course’s teaching intentions.  For the programme specifications, this should be a brief statement of what the course intends to deliver, identifying the core concepts and any rationale.</w:t>
      </w:r>
    </w:p>
    <w:p w14:paraId="2FA4E08C" w14:textId="77777777" w:rsidR="00B8045F" w:rsidRPr="006D3C8C" w:rsidRDefault="00B8045F" w:rsidP="006D3C8C">
      <w:pPr>
        <w:pStyle w:val="Heading4"/>
        <w:spacing w:after="120" w:line="360" w:lineRule="auto"/>
        <w:rPr>
          <w:color w:val="007A87"/>
          <w:sz w:val="24"/>
          <w:szCs w:val="24"/>
        </w:rPr>
      </w:pPr>
      <w:r w:rsidRPr="006D3C8C">
        <w:rPr>
          <w:color w:val="007A87"/>
          <w:sz w:val="24"/>
          <w:szCs w:val="24"/>
        </w:rPr>
        <w:t>What is meant by course learning outcomes?</w:t>
      </w:r>
    </w:p>
    <w:p w14:paraId="63471D05" w14:textId="77777777" w:rsidR="00F77637" w:rsidRPr="006D3C8C" w:rsidRDefault="00B8045F" w:rsidP="006D3C8C">
      <w:pPr>
        <w:spacing w:before="120" w:after="100" w:afterAutospacing="1" w:line="360" w:lineRule="auto"/>
        <w:rPr>
          <w:rFonts w:cstheme="minorHAnsi"/>
          <w:color w:val="000000" w:themeColor="text1"/>
          <w:sz w:val="24"/>
          <w:szCs w:val="24"/>
        </w:rPr>
      </w:pPr>
      <w:r w:rsidRPr="006D3C8C">
        <w:rPr>
          <w:rFonts w:cstheme="minorHAnsi"/>
          <w:color w:val="000000" w:themeColor="text1"/>
          <w:sz w:val="24"/>
          <w:szCs w:val="24"/>
        </w:rPr>
        <w:t>These are statements of what the student will reasonably be expected to know, understand or be able to do on completion of the particular course of stud</w:t>
      </w:r>
      <w:r w:rsidR="00F77637" w:rsidRPr="006D3C8C">
        <w:rPr>
          <w:rFonts w:cstheme="minorHAnsi"/>
          <w:color w:val="000000" w:themeColor="text1"/>
          <w:sz w:val="24"/>
          <w:szCs w:val="24"/>
        </w:rPr>
        <w:t>y.</w:t>
      </w:r>
    </w:p>
    <w:p w14:paraId="3A313191" w14:textId="77777777" w:rsidR="00B8045F" w:rsidRPr="006D3C8C" w:rsidRDefault="00B8045F" w:rsidP="006D3C8C">
      <w:pPr>
        <w:spacing w:before="120" w:after="100" w:afterAutospacing="1" w:line="360" w:lineRule="auto"/>
        <w:rPr>
          <w:rFonts w:cstheme="minorHAnsi"/>
          <w:color w:val="000000" w:themeColor="text1"/>
          <w:sz w:val="24"/>
          <w:szCs w:val="24"/>
        </w:rPr>
      </w:pPr>
      <w:r w:rsidRPr="006D3C8C">
        <w:rPr>
          <w:rFonts w:cstheme="minorHAnsi"/>
          <w:color w:val="000000" w:themeColor="text1"/>
          <w:sz w:val="24"/>
          <w:szCs w:val="24"/>
        </w:rPr>
        <w:t>When drafting the course outcomes, departments should be aware that learning outcomes must operate at threshold level (i</w:t>
      </w:r>
      <w:r w:rsidR="00F77637" w:rsidRPr="006D3C8C">
        <w:rPr>
          <w:rFonts w:cstheme="minorHAnsi"/>
          <w:color w:val="000000" w:themeColor="text1"/>
          <w:sz w:val="24"/>
          <w:szCs w:val="24"/>
        </w:rPr>
        <w:t>.</w:t>
      </w:r>
      <w:r w:rsidRPr="006D3C8C">
        <w:rPr>
          <w:rFonts w:cstheme="minorHAnsi"/>
          <w:color w:val="000000" w:themeColor="text1"/>
          <w:sz w:val="24"/>
          <w:szCs w:val="24"/>
        </w:rPr>
        <w:t>e</w:t>
      </w:r>
      <w:r w:rsidR="00F77637" w:rsidRPr="006D3C8C">
        <w:rPr>
          <w:rFonts w:cstheme="minorHAnsi"/>
          <w:color w:val="000000" w:themeColor="text1"/>
          <w:sz w:val="24"/>
          <w:szCs w:val="24"/>
        </w:rPr>
        <w:t>.</w:t>
      </w:r>
      <w:r w:rsidRPr="006D3C8C">
        <w:rPr>
          <w:rFonts w:cstheme="minorHAnsi"/>
          <w:color w:val="000000" w:themeColor="text1"/>
          <w:sz w:val="24"/>
          <w:szCs w:val="24"/>
        </w:rPr>
        <w:t xml:space="preserve"> the minimum standard needed to obtain third class honours) but </w:t>
      </w:r>
      <w:r w:rsidRPr="006D3C8C">
        <w:rPr>
          <w:rFonts w:cstheme="minorHAnsi"/>
          <w:color w:val="000000" w:themeColor="text1"/>
          <w:sz w:val="24"/>
          <w:szCs w:val="24"/>
        </w:rPr>
        <w:lastRenderedPageBreak/>
        <w:t>that consideration should also be given to how students can demonstrate achievement beyond the threshold.</w:t>
      </w:r>
    </w:p>
    <w:p w14:paraId="0C475EF9" w14:textId="77777777" w:rsidR="00B8045F" w:rsidRPr="006D3C8C" w:rsidRDefault="00B8045F" w:rsidP="006D3C8C">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t>For the programme specification, the course learning outcomes are divided into four categories:</w:t>
      </w:r>
    </w:p>
    <w:p w14:paraId="29131B06" w14:textId="77777777" w:rsidR="00B8045F" w:rsidRPr="006D3C8C" w:rsidRDefault="00B8045F" w:rsidP="006D3C8C">
      <w:pPr>
        <w:pStyle w:val="ListParagraph"/>
        <w:numPr>
          <w:ilvl w:val="0"/>
          <w:numId w:val="2"/>
        </w:numPr>
        <w:spacing w:before="120" w:after="120" w:line="360" w:lineRule="auto"/>
        <w:ind w:left="357" w:right="567" w:hanging="357"/>
        <w:contextualSpacing w:val="0"/>
        <w:outlineLvl w:val="0"/>
        <w:rPr>
          <w:rFonts w:eastAsia="Times New Roman"/>
          <w:bCs/>
          <w:color w:val="000000" w:themeColor="text1"/>
          <w:sz w:val="24"/>
          <w:szCs w:val="24"/>
        </w:rPr>
      </w:pPr>
      <w:r w:rsidRPr="006D3C8C">
        <w:rPr>
          <w:rFonts w:eastAsia="Times New Roman"/>
          <w:bCs/>
          <w:color w:val="000000" w:themeColor="text1"/>
          <w:sz w:val="24"/>
          <w:szCs w:val="24"/>
        </w:rPr>
        <w:t>knowledge and understanding</w:t>
      </w:r>
    </w:p>
    <w:p w14:paraId="5D00813B" w14:textId="77777777" w:rsidR="00B8045F" w:rsidRPr="006D3C8C" w:rsidRDefault="00B8045F" w:rsidP="006D3C8C">
      <w:pPr>
        <w:pStyle w:val="ListParagraph"/>
        <w:numPr>
          <w:ilvl w:val="0"/>
          <w:numId w:val="2"/>
        </w:numPr>
        <w:spacing w:before="120" w:after="120" w:line="360" w:lineRule="auto"/>
        <w:ind w:left="357" w:right="567" w:hanging="357"/>
        <w:contextualSpacing w:val="0"/>
        <w:outlineLvl w:val="0"/>
        <w:rPr>
          <w:rFonts w:eastAsia="Times New Roman"/>
          <w:bCs/>
          <w:color w:val="000000" w:themeColor="text1"/>
          <w:sz w:val="24"/>
          <w:szCs w:val="24"/>
        </w:rPr>
      </w:pPr>
      <w:r w:rsidRPr="006D3C8C">
        <w:rPr>
          <w:rFonts w:eastAsia="Times New Roman"/>
          <w:bCs/>
          <w:color w:val="000000" w:themeColor="text1"/>
          <w:sz w:val="24"/>
          <w:szCs w:val="24"/>
        </w:rPr>
        <w:t>practical skills</w:t>
      </w:r>
    </w:p>
    <w:p w14:paraId="776A9C48" w14:textId="77777777" w:rsidR="00B8045F" w:rsidRPr="006D3C8C" w:rsidRDefault="00B8045F" w:rsidP="006D3C8C">
      <w:pPr>
        <w:pStyle w:val="ListParagraph"/>
        <w:numPr>
          <w:ilvl w:val="0"/>
          <w:numId w:val="2"/>
        </w:numPr>
        <w:spacing w:before="120" w:after="120" w:line="360" w:lineRule="auto"/>
        <w:ind w:left="357" w:right="567" w:hanging="357"/>
        <w:contextualSpacing w:val="0"/>
        <w:outlineLvl w:val="0"/>
        <w:rPr>
          <w:rFonts w:eastAsia="Times New Roman"/>
          <w:bCs/>
          <w:color w:val="000000" w:themeColor="text1"/>
          <w:sz w:val="24"/>
          <w:szCs w:val="24"/>
        </w:rPr>
      </w:pPr>
      <w:r w:rsidRPr="006D3C8C">
        <w:rPr>
          <w:rFonts w:eastAsia="Times New Roman"/>
          <w:bCs/>
          <w:color w:val="000000" w:themeColor="text1"/>
          <w:sz w:val="24"/>
          <w:szCs w:val="24"/>
        </w:rPr>
        <w:t>cognitive skills</w:t>
      </w:r>
    </w:p>
    <w:p w14:paraId="4FFA6CEB" w14:textId="77777777" w:rsidR="00B8045F" w:rsidRPr="006D3C8C" w:rsidRDefault="00F77637" w:rsidP="006D3C8C">
      <w:pPr>
        <w:pStyle w:val="ListParagraph"/>
        <w:numPr>
          <w:ilvl w:val="0"/>
          <w:numId w:val="2"/>
        </w:numPr>
        <w:spacing w:before="120" w:after="120" w:line="360" w:lineRule="auto"/>
        <w:ind w:left="357" w:right="567" w:hanging="357"/>
        <w:contextualSpacing w:val="0"/>
        <w:outlineLvl w:val="0"/>
        <w:rPr>
          <w:rFonts w:eastAsia="Times New Roman"/>
          <w:bCs/>
          <w:color w:val="000000" w:themeColor="text1"/>
          <w:sz w:val="24"/>
          <w:szCs w:val="24"/>
        </w:rPr>
      </w:pPr>
      <w:r w:rsidRPr="006D3C8C">
        <w:rPr>
          <w:rFonts w:eastAsia="Times New Roman"/>
          <w:bCs/>
          <w:color w:val="000000" w:themeColor="text1"/>
          <w:sz w:val="24"/>
          <w:szCs w:val="24"/>
        </w:rPr>
        <w:t>key skills</w:t>
      </w:r>
    </w:p>
    <w:p w14:paraId="55314976" w14:textId="77777777" w:rsidR="00B8045F" w:rsidRPr="006D3C8C" w:rsidRDefault="00B8045F" w:rsidP="006D3C8C">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t>Within the programme specification database, each learning outcome will be numbered in accordance with the section to which it relates, e.g. outcomes in the section headed knowledge and understanding will be numbered A1, A2 and so on.  The system will automatically allocate a number to each learning outcome, but this may be overridden where appropriate, e.g. where a learning outcome is shared by a related group of degree courses.</w:t>
      </w:r>
    </w:p>
    <w:p w14:paraId="5EDC28C1" w14:textId="77777777" w:rsidR="00B8045F" w:rsidRPr="006D3C8C" w:rsidRDefault="00B8045F" w:rsidP="006D3C8C">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t>When completing the section on key skills, departments will be required to input text against the six categories of key skills used at Essex: communication; numeracy; IT; working with others; problem solving; improving own learning and performance.  The key skills will be numbered D1 to D6 though departments may list a number of points against each heading.  There is no requirement to input outcomes against each key skill since it would be inappropriate or impossible to do so in many cases.  However, where no text is inputted against one of the key skill headings, the key skill will not appear in the programme specification.</w:t>
      </w:r>
    </w:p>
    <w:p w14:paraId="3F145BBD" w14:textId="77777777" w:rsidR="00B8045F" w:rsidRPr="006D3C8C" w:rsidRDefault="00B8045F" w:rsidP="006D3C8C">
      <w:pPr>
        <w:pStyle w:val="Heading4"/>
        <w:spacing w:after="120" w:line="360" w:lineRule="auto"/>
        <w:rPr>
          <w:color w:val="007A87"/>
          <w:sz w:val="24"/>
          <w:szCs w:val="24"/>
        </w:rPr>
      </w:pPr>
      <w:r w:rsidRPr="006D3C8C">
        <w:rPr>
          <w:color w:val="007A87"/>
          <w:sz w:val="24"/>
          <w:szCs w:val="24"/>
        </w:rPr>
        <w:t>What relationship needs to be specified between the learning outcome and methods of learning, teaching and assessment?</w:t>
      </w:r>
    </w:p>
    <w:p w14:paraId="0B104385" w14:textId="77777777" w:rsidR="00B8045F" w:rsidRPr="006D3C8C" w:rsidRDefault="00B8045F" w:rsidP="006D3C8C">
      <w:pPr>
        <w:spacing w:before="120" w:after="100" w:afterAutospacing="1" w:line="360" w:lineRule="auto"/>
        <w:rPr>
          <w:rFonts w:cstheme="minorHAnsi"/>
          <w:color w:val="000000" w:themeColor="text1"/>
          <w:sz w:val="24"/>
          <w:szCs w:val="24"/>
        </w:rPr>
      </w:pPr>
      <w:r w:rsidRPr="006D3C8C">
        <w:rPr>
          <w:rFonts w:cstheme="minorHAnsi"/>
          <w:color w:val="000000" w:themeColor="text1"/>
          <w:sz w:val="24"/>
          <w:szCs w:val="24"/>
        </w:rPr>
        <w:t>The programme specification must identify a clear link between the learning outcome and the method of learning</w:t>
      </w:r>
      <w:r w:rsidR="00B16FEC" w:rsidRPr="006D3C8C">
        <w:rPr>
          <w:rFonts w:cstheme="minorHAnsi"/>
          <w:color w:val="000000" w:themeColor="text1"/>
          <w:sz w:val="24"/>
          <w:szCs w:val="24"/>
        </w:rPr>
        <w:t xml:space="preserve">, </w:t>
      </w:r>
      <w:r w:rsidRPr="006D3C8C">
        <w:rPr>
          <w:rFonts w:cstheme="minorHAnsi"/>
          <w:color w:val="000000" w:themeColor="text1"/>
          <w:sz w:val="24"/>
          <w:szCs w:val="24"/>
        </w:rPr>
        <w:t>teaching</w:t>
      </w:r>
      <w:r w:rsidR="00B16FEC" w:rsidRPr="006D3C8C">
        <w:rPr>
          <w:rFonts w:cstheme="minorHAnsi"/>
          <w:color w:val="000000" w:themeColor="text1"/>
          <w:sz w:val="24"/>
          <w:szCs w:val="24"/>
        </w:rPr>
        <w:t xml:space="preserve"> and assessment</w:t>
      </w:r>
      <w:r w:rsidRPr="006D3C8C">
        <w:rPr>
          <w:rFonts w:cstheme="minorHAnsi"/>
          <w:color w:val="000000" w:themeColor="text1"/>
          <w:sz w:val="24"/>
          <w:szCs w:val="24"/>
        </w:rPr>
        <w:t xml:space="preserve"> which enables the students to achieve that outcome.</w:t>
      </w:r>
    </w:p>
    <w:p w14:paraId="09FB0156" w14:textId="77777777" w:rsidR="00B8045F" w:rsidRPr="006D3C8C" w:rsidRDefault="00B8045F" w:rsidP="006D3C8C">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t>Learning and teaching methods/strategies can refer to the type of learning environment, such as lectures, small group classes, laboratory classes and workshops.  They can also refer to the type of activities within these classes such as group discussions, case study analysis, presentations, practicals and so on.</w:t>
      </w:r>
    </w:p>
    <w:p w14:paraId="7D6F06AC" w14:textId="77777777" w:rsidR="00B8045F" w:rsidRPr="006D3C8C" w:rsidRDefault="00B8045F" w:rsidP="006D3C8C">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t>When specifying the assessment methods for the learning outcomes, departments can identify a general form of assessment, such as examinations or continuous coursework</w:t>
      </w:r>
      <w:r w:rsidR="00B16FEC" w:rsidRPr="006D3C8C">
        <w:rPr>
          <w:rFonts w:cstheme="minorHAnsi"/>
          <w:color w:val="000000" w:themeColor="text1"/>
          <w:sz w:val="24"/>
          <w:szCs w:val="24"/>
        </w:rPr>
        <w:t>,</w:t>
      </w:r>
      <w:r w:rsidRPr="006D3C8C">
        <w:rPr>
          <w:rFonts w:cstheme="minorHAnsi"/>
          <w:color w:val="000000" w:themeColor="text1"/>
          <w:sz w:val="24"/>
          <w:szCs w:val="24"/>
        </w:rPr>
        <w:t xml:space="preserve"> but can also provide more detail by identifying the type of assessment such as essays, presentations, group reports, and assessed practicals.</w:t>
      </w:r>
    </w:p>
    <w:p w14:paraId="275FEACC" w14:textId="77777777" w:rsidR="00B8045F" w:rsidRPr="006D3C8C" w:rsidRDefault="00B8045F" w:rsidP="006D3C8C">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lastRenderedPageBreak/>
        <w:t>When mapping the assessment method to the learning outcomes, departments should consider appropriate grading criteria to enable staff to identify achievement of each learning outcome beyond threshold level.</w:t>
      </w:r>
    </w:p>
    <w:p w14:paraId="25BF66C2" w14:textId="77777777" w:rsidR="00B8045F" w:rsidRPr="006D3C8C" w:rsidRDefault="00B8045F" w:rsidP="006D3C8C">
      <w:pPr>
        <w:pStyle w:val="Heading2"/>
        <w:spacing w:line="360" w:lineRule="auto"/>
        <w:rPr>
          <w:rFonts w:ascii="Arial Black" w:hAnsi="Arial Black"/>
          <w:color w:val="auto"/>
        </w:rPr>
      </w:pPr>
      <w:r w:rsidRPr="006D3C8C">
        <w:rPr>
          <w:rFonts w:ascii="Arial Black" w:hAnsi="Arial Black"/>
          <w:color w:val="auto"/>
        </w:rPr>
        <w:t>Section C</w:t>
      </w:r>
    </w:p>
    <w:p w14:paraId="3AD5E15D" w14:textId="77777777" w:rsidR="00B8045F" w:rsidRPr="006D3C8C" w:rsidRDefault="00865C70" w:rsidP="006D3C8C">
      <w:pPr>
        <w:spacing w:before="100" w:beforeAutospacing="1" w:after="100" w:afterAutospacing="1" w:line="360" w:lineRule="auto"/>
        <w:rPr>
          <w:rFonts w:cstheme="minorHAnsi"/>
          <w:color w:val="404040" w:themeColor="text1" w:themeTint="BF"/>
          <w:sz w:val="24"/>
          <w:szCs w:val="24"/>
        </w:rPr>
      </w:pPr>
      <w:r w:rsidRPr="006D3C8C">
        <w:rPr>
          <w:rFonts w:cstheme="minorHAnsi"/>
          <w:color w:val="000000" w:themeColor="text1"/>
          <w:sz w:val="24"/>
          <w:szCs w:val="24"/>
        </w:rPr>
        <w:t>Set out</w:t>
      </w:r>
      <w:r w:rsidR="00B8045F" w:rsidRPr="006D3C8C">
        <w:rPr>
          <w:rFonts w:cstheme="minorHAnsi"/>
          <w:color w:val="000000" w:themeColor="text1"/>
          <w:sz w:val="24"/>
          <w:szCs w:val="24"/>
        </w:rPr>
        <w:t xml:space="preserve"> </w:t>
      </w:r>
      <w:r w:rsidRPr="006D3C8C">
        <w:rPr>
          <w:rFonts w:cstheme="minorHAnsi"/>
          <w:color w:val="000000" w:themeColor="text1"/>
          <w:sz w:val="24"/>
          <w:szCs w:val="24"/>
        </w:rPr>
        <w:t>the course structure listing all modules and their status.</w:t>
      </w:r>
    </w:p>
    <w:p w14:paraId="3A33922A" w14:textId="77777777" w:rsidR="00B8045F" w:rsidRPr="006D3C8C" w:rsidRDefault="00B8045F" w:rsidP="006D3C8C">
      <w:pPr>
        <w:pStyle w:val="Heading2"/>
        <w:spacing w:line="360" w:lineRule="auto"/>
        <w:rPr>
          <w:rFonts w:ascii="Arial Black" w:hAnsi="Arial Black"/>
          <w:color w:val="auto"/>
        </w:rPr>
      </w:pPr>
      <w:r w:rsidRPr="006D3C8C">
        <w:rPr>
          <w:rFonts w:ascii="Arial Black" w:hAnsi="Arial Black"/>
          <w:color w:val="auto"/>
        </w:rPr>
        <w:t>Section D</w:t>
      </w:r>
    </w:p>
    <w:p w14:paraId="677B25E1" w14:textId="77777777" w:rsidR="00B8045F" w:rsidRPr="006D3C8C" w:rsidRDefault="00865C70" w:rsidP="006D3C8C">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t>Specifies the Rules of Assessment.  T</w:t>
      </w:r>
      <w:r w:rsidR="00B8045F" w:rsidRPr="006D3C8C">
        <w:rPr>
          <w:rFonts w:cstheme="minorHAnsi"/>
          <w:color w:val="000000" w:themeColor="text1"/>
          <w:sz w:val="24"/>
          <w:szCs w:val="24"/>
        </w:rPr>
        <w:t>his will be a simple weblink to the University’s Rules of Assessment</w:t>
      </w:r>
      <w:r w:rsidRPr="006D3C8C">
        <w:rPr>
          <w:rFonts w:cstheme="minorHAnsi"/>
          <w:color w:val="000000" w:themeColor="text1"/>
          <w:sz w:val="24"/>
          <w:szCs w:val="24"/>
        </w:rPr>
        <w:t xml:space="preserve"> and </w:t>
      </w:r>
      <w:r w:rsidR="00B8045F" w:rsidRPr="006D3C8C">
        <w:rPr>
          <w:rFonts w:cstheme="minorHAnsi"/>
          <w:color w:val="000000" w:themeColor="text1"/>
          <w:sz w:val="24"/>
          <w:szCs w:val="24"/>
        </w:rPr>
        <w:t>will normally be completed centrally by the Academic Section.</w:t>
      </w:r>
    </w:p>
    <w:p w14:paraId="7A6913A8" w14:textId="77777777" w:rsidR="00B8045F" w:rsidRPr="006D3C8C" w:rsidRDefault="00B8045F" w:rsidP="006D3C8C">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t>Requests for variations to the Rules of Assessment require approval (please contact your Quality and Academic Development Manager for advice).</w:t>
      </w:r>
    </w:p>
    <w:p w14:paraId="2C241BF4" w14:textId="77777777" w:rsidR="00B8045F" w:rsidRPr="006D3C8C" w:rsidRDefault="00B8045F" w:rsidP="006D3C8C">
      <w:pPr>
        <w:pStyle w:val="Heading2"/>
        <w:spacing w:line="360" w:lineRule="auto"/>
        <w:rPr>
          <w:rFonts w:ascii="Arial Black" w:hAnsi="Arial Black"/>
          <w:color w:val="auto"/>
        </w:rPr>
      </w:pPr>
      <w:r w:rsidRPr="006D3C8C">
        <w:rPr>
          <w:rFonts w:ascii="Arial Black" w:hAnsi="Arial Black"/>
          <w:color w:val="auto"/>
        </w:rPr>
        <w:t>Annex – module map</w:t>
      </w:r>
    </w:p>
    <w:p w14:paraId="0051264D" w14:textId="77777777" w:rsidR="00865C70" w:rsidRPr="006D3C8C" w:rsidRDefault="00B8045F" w:rsidP="006D3C8C">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t>Departments should be able to demonstrate how the course learning outcomes are re</w:t>
      </w:r>
      <w:r w:rsidR="00865C70" w:rsidRPr="006D3C8C">
        <w:rPr>
          <w:rFonts w:cstheme="minorHAnsi"/>
          <w:color w:val="000000" w:themeColor="text1"/>
          <w:sz w:val="24"/>
          <w:szCs w:val="24"/>
        </w:rPr>
        <w:t>flected in the course content.</w:t>
      </w:r>
    </w:p>
    <w:p w14:paraId="44371677" w14:textId="77777777" w:rsidR="00865C70" w:rsidRPr="006D3C8C" w:rsidRDefault="00865C70" w:rsidP="006D3C8C">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t>The</w:t>
      </w:r>
      <w:r w:rsidRPr="006D3C8C">
        <w:rPr>
          <w:rFonts w:cstheme="minorHAnsi"/>
          <w:color w:val="404040" w:themeColor="text1" w:themeTint="BF"/>
          <w:sz w:val="24"/>
          <w:szCs w:val="24"/>
        </w:rPr>
        <w:t xml:space="preserve"> </w:t>
      </w:r>
      <w:hyperlink r:id="rId15" w:history="1">
        <w:r w:rsidRPr="006D3C8C">
          <w:rPr>
            <w:rStyle w:val="Hyperlink"/>
            <w:rFonts w:cstheme="minorHAnsi"/>
            <w:sz w:val="24"/>
            <w:szCs w:val="24"/>
          </w:rPr>
          <w:t>module map</w:t>
        </w:r>
      </w:hyperlink>
      <w:r w:rsidRPr="006D3C8C">
        <w:rPr>
          <w:rFonts w:cstheme="minorHAnsi"/>
          <w:color w:val="404040" w:themeColor="text1" w:themeTint="BF"/>
          <w:sz w:val="24"/>
          <w:szCs w:val="24"/>
        </w:rPr>
        <w:t xml:space="preserve"> </w:t>
      </w:r>
      <w:r w:rsidRPr="006D3C8C">
        <w:rPr>
          <w:rFonts w:cstheme="minorHAnsi"/>
          <w:color w:val="000000" w:themeColor="text1"/>
          <w:sz w:val="24"/>
          <w:szCs w:val="24"/>
        </w:rPr>
        <w:t>shows how individual modules map against the course-level learning out</w:t>
      </w:r>
      <w:r w:rsidR="004C3312" w:rsidRPr="006D3C8C">
        <w:rPr>
          <w:rFonts w:cstheme="minorHAnsi"/>
          <w:color w:val="000000" w:themeColor="text1"/>
          <w:sz w:val="24"/>
          <w:szCs w:val="24"/>
        </w:rPr>
        <w:t>comes.  Departments should check that the learning outcomes will be covered wherever students pass the course, taking care where it’s possible for a student to fail modules and pass their course (see the Rules of Assessment information on condonement).</w:t>
      </w:r>
    </w:p>
    <w:p w14:paraId="3EC1802B" w14:textId="069F2763" w:rsidR="008B6EAD" w:rsidRDefault="004C3312" w:rsidP="001241C9">
      <w:pPr>
        <w:spacing w:before="100" w:beforeAutospacing="1" w:after="100" w:afterAutospacing="1" w:line="360" w:lineRule="auto"/>
        <w:rPr>
          <w:rFonts w:cstheme="minorHAnsi"/>
          <w:color w:val="000000" w:themeColor="text1"/>
          <w:sz w:val="24"/>
          <w:szCs w:val="24"/>
        </w:rPr>
      </w:pPr>
      <w:r w:rsidRPr="006D3C8C">
        <w:rPr>
          <w:rFonts w:cstheme="minorHAnsi"/>
          <w:color w:val="000000" w:themeColor="text1"/>
          <w:sz w:val="24"/>
          <w:szCs w:val="24"/>
        </w:rPr>
        <w:t>Departments can use the</w:t>
      </w:r>
      <w:r w:rsidR="00B8045F" w:rsidRPr="006D3C8C">
        <w:rPr>
          <w:rFonts w:cstheme="minorHAnsi"/>
          <w:color w:val="000000" w:themeColor="text1"/>
          <w:sz w:val="24"/>
          <w:szCs w:val="24"/>
        </w:rPr>
        <w:t xml:space="preserve"> template</w:t>
      </w:r>
      <w:r w:rsidRPr="006D3C8C">
        <w:rPr>
          <w:rFonts w:cstheme="minorHAnsi"/>
          <w:color w:val="000000" w:themeColor="text1"/>
          <w:sz w:val="24"/>
          <w:szCs w:val="24"/>
        </w:rPr>
        <w:t xml:space="preserve"> module map</w:t>
      </w:r>
      <w:r w:rsidR="00B8045F" w:rsidRPr="006D3C8C">
        <w:rPr>
          <w:rFonts w:cstheme="minorHAnsi"/>
          <w:color w:val="000000" w:themeColor="text1"/>
          <w:sz w:val="24"/>
          <w:szCs w:val="24"/>
        </w:rPr>
        <w:t xml:space="preserve"> as it stands or adapt it to provide a more extensive summary.</w:t>
      </w:r>
    </w:p>
    <w:p w14:paraId="22B6B93D" w14:textId="77777777" w:rsidR="001241C9" w:rsidRPr="001241C9" w:rsidRDefault="001241C9" w:rsidP="001241C9">
      <w:pPr>
        <w:spacing w:before="100" w:beforeAutospacing="1" w:after="100" w:afterAutospacing="1" w:line="360" w:lineRule="auto"/>
        <w:rPr>
          <w:rFonts w:cstheme="minorHAnsi"/>
          <w:color w:val="000000" w:themeColor="text1"/>
          <w:sz w:val="24"/>
          <w:szCs w:val="24"/>
        </w:rPr>
      </w:pPr>
    </w:p>
    <w:p w14:paraId="205ED3C8" w14:textId="77777777" w:rsidR="008B6EAD" w:rsidRDefault="008B6EAD" w:rsidP="00DA726F">
      <w:pPr>
        <w:spacing w:before="80" w:after="80"/>
        <w:ind w:right="567"/>
        <w:outlineLvl w:val="0"/>
        <w:rPr>
          <w:rFonts w:eastAsia="Times New Roman"/>
          <w:bCs/>
          <w:color w:val="404040" w:themeColor="text1" w:themeTint="BF"/>
          <w:sz w:val="22"/>
        </w:rPr>
      </w:pPr>
    </w:p>
    <w:p w14:paraId="70EF512E" w14:textId="77777777" w:rsidR="008B6EAD" w:rsidRDefault="008B6EAD" w:rsidP="00DA726F">
      <w:pPr>
        <w:spacing w:before="80" w:after="80"/>
        <w:ind w:right="567"/>
        <w:outlineLvl w:val="0"/>
        <w:rPr>
          <w:rFonts w:eastAsia="Times New Roman"/>
          <w:bCs/>
          <w:color w:val="404040" w:themeColor="text1" w:themeTint="BF"/>
          <w:sz w:val="22"/>
        </w:rPr>
      </w:pPr>
    </w:p>
    <w:p w14:paraId="280A5463" w14:textId="77777777" w:rsidR="00B8045F" w:rsidRDefault="00B8045F" w:rsidP="00DA726F">
      <w:pPr>
        <w:spacing w:before="80" w:after="80"/>
        <w:ind w:right="567"/>
        <w:outlineLvl w:val="0"/>
        <w:rPr>
          <w:rFonts w:eastAsia="Times New Roman"/>
          <w:bCs/>
          <w:color w:val="404040" w:themeColor="text1" w:themeTint="BF"/>
          <w:sz w:val="22"/>
        </w:rPr>
      </w:pPr>
    </w:p>
    <w:p w14:paraId="6F4C428C" w14:textId="77777777" w:rsidR="00B8045F" w:rsidRDefault="00B8045F" w:rsidP="00DA726F">
      <w:pPr>
        <w:spacing w:before="80" w:after="80"/>
        <w:ind w:right="567"/>
        <w:outlineLvl w:val="0"/>
        <w:rPr>
          <w:rFonts w:eastAsia="Times New Roman"/>
          <w:bCs/>
          <w:color w:val="404040" w:themeColor="text1" w:themeTint="BF"/>
          <w:sz w:val="22"/>
        </w:rPr>
      </w:pPr>
    </w:p>
    <w:p w14:paraId="5BA1ED45" w14:textId="77777777" w:rsidR="00DA2414" w:rsidRDefault="00DA2414" w:rsidP="00DA726F">
      <w:pPr>
        <w:spacing w:before="80" w:after="80"/>
        <w:ind w:right="567"/>
        <w:outlineLvl w:val="0"/>
        <w:rPr>
          <w:rFonts w:eastAsia="Times New Roman"/>
          <w:bCs/>
          <w:color w:val="404040" w:themeColor="text1" w:themeTint="BF"/>
          <w:sz w:val="22"/>
        </w:rPr>
      </w:pPr>
    </w:p>
    <w:tbl>
      <w:tblPr>
        <w:tblStyle w:val="TableGrid"/>
        <w:tblW w:w="0" w:type="auto"/>
        <w:jc w:val="center"/>
        <w:tblLook w:val="04A0" w:firstRow="1" w:lastRow="0" w:firstColumn="1" w:lastColumn="0" w:noHBand="0" w:noVBand="1"/>
      </w:tblPr>
      <w:tblGrid>
        <w:gridCol w:w="3256"/>
        <w:gridCol w:w="6373"/>
      </w:tblGrid>
      <w:tr w:rsidR="00A16A7F" w:rsidRPr="00A16A7F" w14:paraId="7B4159DD" w14:textId="77777777" w:rsidTr="00A16A7F">
        <w:trPr>
          <w:trHeight w:val="289"/>
          <w:jc w:val="center"/>
        </w:trPr>
        <w:tc>
          <w:tcPr>
            <w:tcW w:w="3256" w:type="dxa"/>
            <w:vAlign w:val="center"/>
          </w:tcPr>
          <w:p w14:paraId="6E184602" w14:textId="77777777" w:rsidR="00DA2414" w:rsidRPr="00A16A7F" w:rsidRDefault="00DA2414" w:rsidP="00DA2414">
            <w:pPr>
              <w:spacing w:before="20" w:after="20"/>
              <w:rPr>
                <w:rFonts w:ascii="Arial" w:hAnsi="Arial" w:cs="Arial"/>
                <w:b/>
                <w:szCs w:val="20"/>
              </w:rPr>
            </w:pPr>
            <w:r w:rsidRPr="00A16A7F">
              <w:rPr>
                <w:rFonts w:ascii="Arial" w:hAnsi="Arial" w:cs="Arial"/>
                <w:b/>
                <w:szCs w:val="20"/>
              </w:rPr>
              <w:t>Document owner</w:t>
            </w:r>
          </w:p>
        </w:tc>
        <w:tc>
          <w:tcPr>
            <w:tcW w:w="6373" w:type="dxa"/>
            <w:vAlign w:val="center"/>
          </w:tcPr>
          <w:p w14:paraId="3442A1AE" w14:textId="77777777" w:rsidR="00DA2414" w:rsidRPr="00A16A7F" w:rsidRDefault="00DA2414" w:rsidP="00DA2414">
            <w:pPr>
              <w:spacing w:before="20" w:after="20"/>
              <w:rPr>
                <w:rFonts w:ascii="Arial" w:hAnsi="Arial" w:cs="Arial"/>
                <w:szCs w:val="20"/>
              </w:rPr>
            </w:pPr>
            <w:r w:rsidRPr="00A16A7F">
              <w:rPr>
                <w:rFonts w:ascii="Arial" w:hAnsi="Arial" w:cs="Arial"/>
                <w:szCs w:val="20"/>
              </w:rPr>
              <w:t>Quality and Academic Development</w:t>
            </w:r>
          </w:p>
        </w:tc>
      </w:tr>
      <w:tr w:rsidR="00A16A7F" w:rsidRPr="00A16A7F" w14:paraId="15A789CD" w14:textId="77777777" w:rsidTr="00A16A7F">
        <w:trPr>
          <w:trHeight w:val="289"/>
          <w:jc w:val="center"/>
        </w:trPr>
        <w:tc>
          <w:tcPr>
            <w:tcW w:w="3256" w:type="dxa"/>
            <w:vAlign w:val="center"/>
          </w:tcPr>
          <w:p w14:paraId="15216255" w14:textId="77777777" w:rsidR="00DA2414" w:rsidRPr="00A16A7F" w:rsidRDefault="00DA2414" w:rsidP="00DA2414">
            <w:pPr>
              <w:spacing w:before="20" w:after="20"/>
              <w:rPr>
                <w:rFonts w:ascii="Arial" w:hAnsi="Arial" w:cs="Arial"/>
                <w:b/>
                <w:szCs w:val="20"/>
              </w:rPr>
            </w:pPr>
            <w:r w:rsidRPr="00A16A7F">
              <w:rPr>
                <w:rFonts w:ascii="Arial" w:hAnsi="Arial" w:cs="Arial"/>
                <w:b/>
                <w:szCs w:val="20"/>
              </w:rPr>
              <w:t>Document author</w:t>
            </w:r>
          </w:p>
        </w:tc>
        <w:tc>
          <w:tcPr>
            <w:tcW w:w="6373" w:type="dxa"/>
            <w:vAlign w:val="center"/>
          </w:tcPr>
          <w:p w14:paraId="3CC611D9" w14:textId="77777777" w:rsidR="00DA2414" w:rsidRPr="00A16A7F" w:rsidRDefault="00DA2414" w:rsidP="00DA2414">
            <w:pPr>
              <w:spacing w:before="20" w:after="20"/>
              <w:rPr>
                <w:rFonts w:ascii="Arial" w:hAnsi="Arial" w:cs="Arial"/>
                <w:szCs w:val="20"/>
              </w:rPr>
            </w:pPr>
            <w:r w:rsidRPr="00A16A7F">
              <w:rPr>
                <w:rFonts w:ascii="Arial" w:hAnsi="Arial" w:cs="Arial"/>
                <w:szCs w:val="20"/>
              </w:rPr>
              <w:t>Quality and Academic Development</w:t>
            </w:r>
          </w:p>
        </w:tc>
      </w:tr>
      <w:tr w:rsidR="00A16A7F" w:rsidRPr="00A16A7F" w14:paraId="03E180E5" w14:textId="77777777" w:rsidTr="00A16A7F">
        <w:trPr>
          <w:trHeight w:val="289"/>
          <w:jc w:val="center"/>
        </w:trPr>
        <w:tc>
          <w:tcPr>
            <w:tcW w:w="3256" w:type="dxa"/>
            <w:vAlign w:val="center"/>
          </w:tcPr>
          <w:p w14:paraId="575E3A63" w14:textId="77777777" w:rsidR="00DA2414" w:rsidRPr="00A16A7F" w:rsidRDefault="00DA2414" w:rsidP="00DA2414">
            <w:pPr>
              <w:spacing w:before="20" w:after="20"/>
              <w:rPr>
                <w:rFonts w:ascii="Arial" w:hAnsi="Arial" w:cs="Arial"/>
                <w:b/>
                <w:szCs w:val="20"/>
              </w:rPr>
            </w:pPr>
            <w:r w:rsidRPr="00A16A7F">
              <w:rPr>
                <w:rFonts w:ascii="Arial" w:hAnsi="Arial" w:cs="Arial"/>
                <w:b/>
                <w:szCs w:val="20"/>
              </w:rPr>
              <w:t>Document last reviewed by</w:t>
            </w:r>
          </w:p>
        </w:tc>
        <w:tc>
          <w:tcPr>
            <w:tcW w:w="6373" w:type="dxa"/>
            <w:vAlign w:val="center"/>
          </w:tcPr>
          <w:p w14:paraId="54F2DBA7" w14:textId="2B0F807A" w:rsidR="00DA2414" w:rsidRPr="00A16A7F" w:rsidRDefault="00927B71" w:rsidP="00DA2414">
            <w:pPr>
              <w:spacing w:before="20" w:after="20"/>
              <w:rPr>
                <w:rFonts w:ascii="Arial" w:hAnsi="Arial" w:cs="Arial"/>
                <w:szCs w:val="20"/>
              </w:rPr>
            </w:pPr>
            <w:r w:rsidRPr="00A16A7F">
              <w:rPr>
                <w:rFonts w:ascii="Arial" w:hAnsi="Arial" w:cs="Arial"/>
                <w:szCs w:val="20"/>
              </w:rPr>
              <w:t>Aminah Suhail</w:t>
            </w:r>
            <w:r w:rsidR="00A16A7F">
              <w:rPr>
                <w:rFonts w:ascii="Arial" w:hAnsi="Arial" w:cs="Arial"/>
                <w:szCs w:val="20"/>
              </w:rPr>
              <w:t>, Quality and Academic Development Manager</w:t>
            </w:r>
          </w:p>
        </w:tc>
      </w:tr>
      <w:tr w:rsidR="00A16A7F" w:rsidRPr="00A16A7F" w14:paraId="0600A843" w14:textId="77777777" w:rsidTr="00A16A7F">
        <w:trPr>
          <w:trHeight w:val="289"/>
          <w:jc w:val="center"/>
        </w:trPr>
        <w:tc>
          <w:tcPr>
            <w:tcW w:w="3256" w:type="dxa"/>
            <w:vAlign w:val="center"/>
          </w:tcPr>
          <w:p w14:paraId="7D1A81E4" w14:textId="77777777" w:rsidR="00DA2414" w:rsidRPr="00A16A7F" w:rsidRDefault="00DA2414" w:rsidP="00DA2414">
            <w:pPr>
              <w:spacing w:before="20" w:after="20"/>
              <w:rPr>
                <w:rFonts w:ascii="Arial" w:hAnsi="Arial" w:cs="Arial"/>
                <w:b/>
                <w:szCs w:val="20"/>
              </w:rPr>
            </w:pPr>
            <w:r w:rsidRPr="00A16A7F">
              <w:rPr>
                <w:rFonts w:ascii="Arial" w:hAnsi="Arial" w:cs="Arial"/>
                <w:b/>
                <w:szCs w:val="20"/>
              </w:rPr>
              <w:t>Date last reviewed</w:t>
            </w:r>
          </w:p>
        </w:tc>
        <w:tc>
          <w:tcPr>
            <w:tcW w:w="6373" w:type="dxa"/>
            <w:vAlign w:val="center"/>
          </w:tcPr>
          <w:p w14:paraId="7CF60A93" w14:textId="5D89CE32" w:rsidR="00DA2414" w:rsidRPr="00A16A7F" w:rsidRDefault="00342177" w:rsidP="00DA2414">
            <w:pPr>
              <w:spacing w:before="20" w:after="20"/>
              <w:rPr>
                <w:rFonts w:ascii="Arial" w:hAnsi="Arial" w:cs="Arial"/>
                <w:szCs w:val="20"/>
              </w:rPr>
            </w:pPr>
            <w:r>
              <w:rPr>
                <w:rFonts w:ascii="Arial" w:hAnsi="Arial" w:cs="Arial"/>
                <w:szCs w:val="20"/>
              </w:rPr>
              <w:t>August 2024</w:t>
            </w:r>
          </w:p>
        </w:tc>
      </w:tr>
      <w:tr w:rsidR="00A16A7F" w:rsidRPr="00A16A7F" w14:paraId="3A5B69DE" w14:textId="77777777" w:rsidTr="00A16A7F">
        <w:trPr>
          <w:trHeight w:val="289"/>
          <w:jc w:val="center"/>
        </w:trPr>
        <w:tc>
          <w:tcPr>
            <w:tcW w:w="3256" w:type="dxa"/>
            <w:vAlign w:val="center"/>
          </w:tcPr>
          <w:p w14:paraId="6243B362" w14:textId="77777777" w:rsidR="00DA2414" w:rsidRPr="00A16A7F" w:rsidRDefault="00DA2414" w:rsidP="00DA2414">
            <w:pPr>
              <w:spacing w:before="20" w:after="20"/>
              <w:rPr>
                <w:rFonts w:ascii="Arial" w:hAnsi="Arial" w:cs="Arial"/>
                <w:b/>
                <w:szCs w:val="20"/>
              </w:rPr>
            </w:pPr>
            <w:r w:rsidRPr="00A16A7F">
              <w:rPr>
                <w:rFonts w:ascii="Arial" w:hAnsi="Arial" w:cs="Arial"/>
                <w:b/>
                <w:szCs w:val="20"/>
              </w:rPr>
              <w:t>Review frequency</w:t>
            </w:r>
          </w:p>
        </w:tc>
        <w:tc>
          <w:tcPr>
            <w:tcW w:w="6373" w:type="dxa"/>
            <w:vAlign w:val="center"/>
          </w:tcPr>
          <w:p w14:paraId="5A459469" w14:textId="77777777" w:rsidR="00DA2414" w:rsidRPr="00A16A7F" w:rsidRDefault="00DA2414" w:rsidP="00DA2414">
            <w:pPr>
              <w:spacing w:before="20" w:after="20"/>
              <w:rPr>
                <w:rFonts w:ascii="Arial" w:hAnsi="Arial" w:cs="Arial"/>
                <w:szCs w:val="20"/>
              </w:rPr>
            </w:pPr>
            <w:r w:rsidRPr="00A16A7F">
              <w:rPr>
                <w:rFonts w:ascii="Arial" w:hAnsi="Arial" w:cs="Arial"/>
                <w:szCs w:val="20"/>
              </w:rPr>
              <w:t>Annually</w:t>
            </w:r>
          </w:p>
        </w:tc>
      </w:tr>
    </w:tbl>
    <w:p w14:paraId="5FF94ECD" w14:textId="77777777" w:rsidR="00DA2414" w:rsidRPr="00DA726F" w:rsidRDefault="00DA2414" w:rsidP="00DA2414">
      <w:pPr>
        <w:spacing w:before="80" w:after="80"/>
        <w:ind w:right="567"/>
        <w:outlineLvl w:val="0"/>
        <w:rPr>
          <w:rFonts w:eastAsia="Times New Roman"/>
          <w:bCs/>
          <w:color w:val="404040" w:themeColor="text1" w:themeTint="BF"/>
          <w:sz w:val="22"/>
        </w:rPr>
      </w:pPr>
    </w:p>
    <w:sectPr w:rsidR="00DA2414" w:rsidRPr="00DA726F" w:rsidSect="00DA2414">
      <w:pgSz w:w="11906" w:h="16838"/>
      <w:pgMar w:top="720" w:right="720" w:bottom="567"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C3B8E" w14:textId="77777777" w:rsidR="00EC4670" w:rsidRDefault="00EC4670" w:rsidP="00B22B5D">
      <w:pPr>
        <w:spacing w:after="0"/>
      </w:pPr>
      <w:r>
        <w:separator/>
      </w:r>
    </w:p>
  </w:endnote>
  <w:endnote w:type="continuationSeparator" w:id="0">
    <w:p w14:paraId="0FFA2FC8" w14:textId="77777777" w:rsidR="00EC4670" w:rsidRDefault="00EC4670" w:rsidP="00B22B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6DC8" w14:textId="77777777" w:rsidR="00EC4670" w:rsidRDefault="00EC4670" w:rsidP="00B22B5D">
      <w:pPr>
        <w:spacing w:after="0"/>
      </w:pPr>
      <w:r>
        <w:separator/>
      </w:r>
    </w:p>
  </w:footnote>
  <w:footnote w:type="continuationSeparator" w:id="0">
    <w:p w14:paraId="5B48521A" w14:textId="77777777" w:rsidR="00EC4670" w:rsidRDefault="00EC4670" w:rsidP="00B22B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B18"/>
    <w:multiLevelType w:val="hybridMultilevel"/>
    <w:tmpl w:val="AAEA7C26"/>
    <w:lvl w:ilvl="0" w:tplc="5E4AC494">
      <w:start w:val="1"/>
      <w:numFmt w:val="bullet"/>
      <w:lvlText w:val=""/>
      <w:lvlJc w:val="left"/>
      <w:pPr>
        <w:ind w:left="1174" w:hanging="360"/>
      </w:pPr>
      <w:rPr>
        <w:rFonts w:ascii="Wingdings" w:hAnsi="Wingdings" w:hint="default"/>
        <w:b w:val="0"/>
        <w:i w:val="0"/>
        <w:color w:val="007A87"/>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57B632FB"/>
    <w:multiLevelType w:val="multilevel"/>
    <w:tmpl w:val="E644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0D420D"/>
    <w:multiLevelType w:val="hybridMultilevel"/>
    <w:tmpl w:val="988C9E98"/>
    <w:lvl w:ilvl="0" w:tplc="D85CF5E0">
      <w:start w:val="1"/>
      <w:numFmt w:val="bullet"/>
      <w:lvlText w:val=""/>
      <w:lvlJc w:val="left"/>
      <w:pPr>
        <w:ind w:left="360" w:hanging="360"/>
      </w:pPr>
      <w:rPr>
        <w:rFonts w:ascii="Wingdings" w:hAnsi="Wingdings" w:hint="default"/>
        <w:b w:val="0"/>
        <w:i w:val="0"/>
        <w:color w:val="007A87"/>
        <w:sz w:val="16"/>
        <w:szCs w:val="16"/>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6BB25E6A"/>
    <w:multiLevelType w:val="hybridMultilevel"/>
    <w:tmpl w:val="AB06B0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57136C"/>
    <w:multiLevelType w:val="hybridMultilevel"/>
    <w:tmpl w:val="8988AE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DF6B46"/>
    <w:multiLevelType w:val="hybridMultilevel"/>
    <w:tmpl w:val="FB2A0334"/>
    <w:lvl w:ilvl="0" w:tplc="4150F93C">
      <w:start w:val="1"/>
      <w:numFmt w:val="bullet"/>
      <w:pStyle w:val="ListParagraph"/>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67D16"/>
    <w:multiLevelType w:val="multilevel"/>
    <w:tmpl w:val="0866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661423">
    <w:abstractNumId w:val="5"/>
  </w:num>
  <w:num w:numId="2" w16cid:durableId="893272855">
    <w:abstractNumId w:val="0"/>
  </w:num>
  <w:num w:numId="3" w16cid:durableId="21399122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0568527">
    <w:abstractNumId w:val="4"/>
  </w:num>
  <w:num w:numId="5" w16cid:durableId="1801222116">
    <w:abstractNumId w:val="1"/>
  </w:num>
  <w:num w:numId="6" w16cid:durableId="447700323">
    <w:abstractNumId w:val="5"/>
  </w:num>
  <w:num w:numId="7" w16cid:durableId="1387147202">
    <w:abstractNumId w:val="6"/>
  </w:num>
  <w:num w:numId="8" w16cid:durableId="987633083">
    <w:abstractNumId w:val="3"/>
  </w:num>
  <w:num w:numId="9" w16cid:durableId="979771583">
    <w:abstractNumId w:val="5"/>
  </w:num>
  <w:num w:numId="10" w16cid:durableId="1082724302">
    <w:abstractNumId w:val="5"/>
  </w:num>
  <w:num w:numId="11" w16cid:durableId="1787847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6D"/>
    <w:rsid w:val="00052658"/>
    <w:rsid w:val="001004E6"/>
    <w:rsid w:val="001241C9"/>
    <w:rsid w:val="001276F8"/>
    <w:rsid w:val="001959BE"/>
    <w:rsid w:val="00213ECA"/>
    <w:rsid w:val="002406C7"/>
    <w:rsid w:val="00260E32"/>
    <w:rsid w:val="002C4C21"/>
    <w:rsid w:val="002C7A83"/>
    <w:rsid w:val="00342177"/>
    <w:rsid w:val="00386A75"/>
    <w:rsid w:val="00390255"/>
    <w:rsid w:val="003A74A2"/>
    <w:rsid w:val="003C3516"/>
    <w:rsid w:val="0042790A"/>
    <w:rsid w:val="00427B52"/>
    <w:rsid w:val="004C3312"/>
    <w:rsid w:val="005B486D"/>
    <w:rsid w:val="00636D0A"/>
    <w:rsid w:val="006D3C8C"/>
    <w:rsid w:val="00706232"/>
    <w:rsid w:val="0071592A"/>
    <w:rsid w:val="00783221"/>
    <w:rsid w:val="00851D9C"/>
    <w:rsid w:val="00860883"/>
    <w:rsid w:val="00865C70"/>
    <w:rsid w:val="008B01DB"/>
    <w:rsid w:val="008B098A"/>
    <w:rsid w:val="008B6EAD"/>
    <w:rsid w:val="00927B71"/>
    <w:rsid w:val="009640A4"/>
    <w:rsid w:val="009C5CF7"/>
    <w:rsid w:val="009F6EAA"/>
    <w:rsid w:val="00A16022"/>
    <w:rsid w:val="00A16A7F"/>
    <w:rsid w:val="00A270BD"/>
    <w:rsid w:val="00A779C7"/>
    <w:rsid w:val="00AC4F0C"/>
    <w:rsid w:val="00B16FEC"/>
    <w:rsid w:val="00B22B5D"/>
    <w:rsid w:val="00B43626"/>
    <w:rsid w:val="00B8045F"/>
    <w:rsid w:val="00B8237B"/>
    <w:rsid w:val="00BB3674"/>
    <w:rsid w:val="00CF795F"/>
    <w:rsid w:val="00D06199"/>
    <w:rsid w:val="00DA2414"/>
    <w:rsid w:val="00DA726F"/>
    <w:rsid w:val="00E4041D"/>
    <w:rsid w:val="00E71139"/>
    <w:rsid w:val="00EA0797"/>
    <w:rsid w:val="00EC4670"/>
    <w:rsid w:val="00EE6D7C"/>
    <w:rsid w:val="00F77637"/>
    <w:rsid w:val="00FB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5259"/>
  <w15:docId w15:val="{47267439-812A-458F-9B74-2A832445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7B"/>
    <w:pPr>
      <w:spacing w:after="240" w:line="240" w:lineRule="auto"/>
    </w:pPr>
    <w:rPr>
      <w:sz w:val="20"/>
    </w:rPr>
  </w:style>
  <w:style w:type="paragraph" w:styleId="Heading1">
    <w:name w:val="heading 1"/>
    <w:basedOn w:val="Normal"/>
    <w:next w:val="Normal"/>
    <w:link w:val="Heading1Char"/>
    <w:uiPriority w:val="9"/>
    <w:qFormat/>
    <w:rsid w:val="005B486D"/>
    <w:pPr>
      <w:keepNext/>
      <w:keepLines/>
      <w:spacing w:before="240"/>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5B486D"/>
    <w:pPr>
      <w:keepNext/>
      <w:keepLines/>
      <w:spacing w:before="200"/>
      <w:outlineLvl w:val="1"/>
    </w:pPr>
    <w:rPr>
      <w:rFonts w:ascii="Arial" w:eastAsiaTheme="majorEastAsia" w:hAnsi="Arial" w:cs="Arial"/>
      <w:b/>
      <w:bCs/>
      <w:color w:val="A90061"/>
      <w:sz w:val="24"/>
      <w:szCs w:val="24"/>
    </w:rPr>
  </w:style>
  <w:style w:type="paragraph" w:styleId="Heading3">
    <w:name w:val="heading 3"/>
    <w:basedOn w:val="Normal"/>
    <w:next w:val="Normal"/>
    <w:link w:val="Heading3Char"/>
    <w:uiPriority w:val="9"/>
    <w:unhideWhenUsed/>
    <w:qFormat/>
    <w:rsid w:val="009F6EAA"/>
    <w:pPr>
      <w:keepNext/>
      <w:keepLines/>
      <w:spacing w:before="200"/>
      <w:outlineLvl w:val="2"/>
    </w:pPr>
    <w:rPr>
      <w:rFonts w:eastAsiaTheme="majorEastAsia" w:cstheme="minorHAnsi"/>
      <w:b/>
      <w:bCs/>
      <w:color w:val="A90061"/>
      <w:sz w:val="22"/>
    </w:rPr>
  </w:style>
  <w:style w:type="paragraph" w:styleId="Heading4">
    <w:name w:val="heading 4"/>
    <w:basedOn w:val="Normal"/>
    <w:next w:val="Normal"/>
    <w:link w:val="Heading4Char"/>
    <w:uiPriority w:val="9"/>
    <w:unhideWhenUsed/>
    <w:qFormat/>
    <w:rsid w:val="009F6EAA"/>
    <w:pPr>
      <w:keepNext/>
      <w:keepLines/>
      <w:spacing w:before="200"/>
      <w:outlineLvl w:val="3"/>
    </w:pPr>
    <w:rPr>
      <w:rFonts w:eastAsiaTheme="majorEastAsia" w:cstheme="minorHAnsi"/>
      <w:b/>
      <w:bCs/>
      <w:i/>
      <w:iCs/>
      <w:color w:val="A90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6D"/>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5B486D"/>
    <w:rPr>
      <w:rFonts w:ascii="Arial" w:eastAsiaTheme="majorEastAsia" w:hAnsi="Arial" w:cs="Arial"/>
      <w:b/>
      <w:bCs/>
      <w:color w:val="A90061"/>
      <w:sz w:val="24"/>
      <w:szCs w:val="24"/>
    </w:rPr>
  </w:style>
  <w:style w:type="character" w:customStyle="1" w:styleId="Heading3Char">
    <w:name w:val="Heading 3 Char"/>
    <w:basedOn w:val="DefaultParagraphFont"/>
    <w:link w:val="Heading3"/>
    <w:uiPriority w:val="9"/>
    <w:rsid w:val="009F6EAA"/>
    <w:rPr>
      <w:rFonts w:eastAsiaTheme="majorEastAsia" w:cstheme="minorHAnsi"/>
      <w:b/>
      <w:bCs/>
      <w:color w:val="A90061"/>
    </w:rPr>
  </w:style>
  <w:style w:type="character" w:customStyle="1" w:styleId="Heading4Char">
    <w:name w:val="Heading 4 Char"/>
    <w:basedOn w:val="DefaultParagraphFont"/>
    <w:link w:val="Heading4"/>
    <w:uiPriority w:val="9"/>
    <w:rsid w:val="009F6EAA"/>
    <w:rPr>
      <w:rFonts w:eastAsiaTheme="majorEastAsia" w:cstheme="minorHAnsi"/>
      <w:b/>
      <w:bCs/>
      <w:i/>
      <w:iCs/>
      <w:color w:val="A90061"/>
      <w:sz w:val="20"/>
    </w:rPr>
  </w:style>
  <w:style w:type="character" w:styleId="Emphasis">
    <w:name w:val="Emphasis"/>
    <w:basedOn w:val="DefaultParagraphFont"/>
    <w:uiPriority w:val="20"/>
    <w:qFormat/>
    <w:rsid w:val="00B8237B"/>
    <w:rPr>
      <w:i/>
      <w:iCs/>
    </w:rPr>
  </w:style>
  <w:style w:type="paragraph" w:styleId="NoSpacing">
    <w:name w:val="No Spacing"/>
    <w:basedOn w:val="Normal"/>
    <w:uiPriority w:val="1"/>
    <w:qFormat/>
    <w:rsid w:val="00B8237B"/>
    <w:pPr>
      <w:spacing w:after="0"/>
    </w:pPr>
  </w:style>
  <w:style w:type="paragraph" w:styleId="ListParagraph">
    <w:name w:val="List Paragraph"/>
    <w:basedOn w:val="Normal"/>
    <w:uiPriority w:val="34"/>
    <w:qFormat/>
    <w:rsid w:val="00B8237B"/>
    <w:pPr>
      <w:numPr>
        <w:numId w:val="1"/>
      </w:numPr>
      <w:contextualSpacing/>
    </w:pPr>
  </w:style>
  <w:style w:type="table" w:styleId="TableGrid">
    <w:name w:val="Table Grid"/>
    <w:basedOn w:val="TableNormal"/>
    <w:uiPriority w:val="59"/>
    <w:rsid w:val="005B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6D"/>
    <w:rPr>
      <w:rFonts w:ascii="Tahoma" w:hAnsi="Tahoma" w:cs="Tahoma"/>
      <w:sz w:val="16"/>
      <w:szCs w:val="16"/>
    </w:rPr>
  </w:style>
  <w:style w:type="character" w:styleId="Hyperlink">
    <w:name w:val="Hyperlink"/>
    <w:basedOn w:val="DefaultParagraphFont"/>
    <w:uiPriority w:val="99"/>
    <w:unhideWhenUsed/>
    <w:rsid w:val="00390255"/>
    <w:rPr>
      <w:color w:val="0000FF"/>
      <w:u w:val="single"/>
    </w:rPr>
  </w:style>
  <w:style w:type="table" w:styleId="GridTable5Dark-Accent6">
    <w:name w:val="Grid Table 5 Dark Accent 6"/>
    <w:basedOn w:val="TableNormal"/>
    <w:uiPriority w:val="50"/>
    <w:rsid w:val="0026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Header">
    <w:name w:val="header"/>
    <w:basedOn w:val="Normal"/>
    <w:link w:val="HeaderChar"/>
    <w:uiPriority w:val="99"/>
    <w:unhideWhenUsed/>
    <w:rsid w:val="00B22B5D"/>
    <w:pPr>
      <w:tabs>
        <w:tab w:val="center" w:pos="4513"/>
        <w:tab w:val="right" w:pos="9026"/>
      </w:tabs>
      <w:spacing w:after="0"/>
    </w:pPr>
  </w:style>
  <w:style w:type="character" w:customStyle="1" w:styleId="HeaderChar">
    <w:name w:val="Header Char"/>
    <w:basedOn w:val="DefaultParagraphFont"/>
    <w:link w:val="Header"/>
    <w:uiPriority w:val="99"/>
    <w:rsid w:val="00B22B5D"/>
    <w:rPr>
      <w:sz w:val="20"/>
    </w:rPr>
  </w:style>
  <w:style w:type="paragraph" w:styleId="Footer">
    <w:name w:val="footer"/>
    <w:basedOn w:val="Normal"/>
    <w:link w:val="FooterChar"/>
    <w:uiPriority w:val="99"/>
    <w:unhideWhenUsed/>
    <w:rsid w:val="00B22B5D"/>
    <w:pPr>
      <w:tabs>
        <w:tab w:val="center" w:pos="4513"/>
        <w:tab w:val="right" w:pos="9026"/>
      </w:tabs>
      <w:spacing w:after="0"/>
    </w:pPr>
  </w:style>
  <w:style w:type="character" w:customStyle="1" w:styleId="FooterChar">
    <w:name w:val="Footer Char"/>
    <w:basedOn w:val="DefaultParagraphFont"/>
    <w:link w:val="Footer"/>
    <w:uiPriority w:val="99"/>
    <w:rsid w:val="00B22B5D"/>
    <w:rPr>
      <w:sz w:val="20"/>
    </w:rPr>
  </w:style>
  <w:style w:type="character" w:styleId="FollowedHyperlink">
    <w:name w:val="FollowedHyperlink"/>
    <w:basedOn w:val="DefaultParagraphFont"/>
    <w:uiPriority w:val="99"/>
    <w:semiHidden/>
    <w:unhideWhenUsed/>
    <w:rsid w:val="00E4041D"/>
    <w:rPr>
      <w:color w:val="800080" w:themeColor="followedHyperlink"/>
      <w:u w:val="single"/>
    </w:rPr>
  </w:style>
  <w:style w:type="character" w:styleId="UnresolvedMention">
    <w:name w:val="Unresolved Mention"/>
    <w:basedOn w:val="DefaultParagraphFont"/>
    <w:uiPriority w:val="99"/>
    <w:semiHidden/>
    <w:unhideWhenUsed/>
    <w:rsid w:val="00706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aa.ac.uk/en/quality-code/qualifications-and-credit-framewor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media/documents/directories/academic-section/academic-standards-and-quality/module-map-template.x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media/documents/directories/academic-section/academic-standards-and-quality/programme-specification-template.docx" TargetMode="External"/><Relationship Id="rId5" Type="http://schemas.openxmlformats.org/officeDocument/2006/relationships/webSettings" Target="webSettings.xml"/><Relationship Id="rId15" Type="http://schemas.openxmlformats.org/officeDocument/2006/relationships/hyperlink" Target="https://www1.essex.ac.uk/quality/Documents/course_design_approval_and_modifications/module_map.xls" TargetMode="External"/><Relationship Id="rId10" Type="http://schemas.openxmlformats.org/officeDocument/2006/relationships/hyperlink" Target="https://www.qaa.ac.uk/quality-code" TargetMode="External"/><Relationship Id="rId4" Type="http://schemas.openxmlformats.org/officeDocument/2006/relationships/settings" Target="settings.xml"/><Relationship Id="rId9" Type="http://schemas.openxmlformats.org/officeDocument/2006/relationships/hyperlink" Target="https://www.qaa.ac.uk/en/quality-code/subject-benchmark-statements" TargetMode="External"/><Relationship Id="rId14" Type="http://schemas.openxmlformats.org/officeDocument/2006/relationships/hyperlink" Target="https://www.essex.ac.uk/staff/professional-services/organisational-development-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use styl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31ABEAB-4785-424B-A889-32A721F7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Specifications and module maps guidance</dc:title>
  <dc:creator>QUAD</dc:creator>
  <cp:keywords>Programme Specifications and module maps guidance</cp:keywords>
  <cp:lastModifiedBy>Suhail, Aminah</cp:lastModifiedBy>
  <cp:revision>3</cp:revision>
  <dcterms:created xsi:type="dcterms:W3CDTF">2023-11-06T15:21:00Z</dcterms:created>
  <dcterms:modified xsi:type="dcterms:W3CDTF">2024-08-05T08:18:00Z</dcterms:modified>
</cp:coreProperties>
</file>