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BDA3" w14:textId="378B1E87" w:rsidR="007C6245" w:rsidRDefault="0020638F" w:rsidP="007C624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638F">
        <w:rPr>
          <w:rFonts w:ascii="Arial" w:hAnsi="Arial" w:cs="Arial"/>
          <w:b/>
          <w:sz w:val="20"/>
          <w:szCs w:val="20"/>
          <w:u w:val="single"/>
        </w:rPr>
        <w:t xml:space="preserve">Integrated </w:t>
      </w:r>
      <w:proofErr w:type="gramStart"/>
      <w:r w:rsidRPr="0020638F">
        <w:rPr>
          <w:rFonts w:ascii="Arial" w:hAnsi="Arial" w:cs="Arial"/>
          <w:b/>
          <w:sz w:val="20"/>
          <w:szCs w:val="20"/>
          <w:u w:val="single"/>
        </w:rPr>
        <w:t>Masters Degrees</w:t>
      </w:r>
      <w:proofErr w:type="gramEnd"/>
      <w:r w:rsidR="00F8308C">
        <w:rPr>
          <w:rFonts w:ascii="Arial" w:hAnsi="Arial" w:cs="Arial"/>
          <w:b/>
          <w:sz w:val="20"/>
          <w:szCs w:val="20"/>
          <w:u w:val="single"/>
        </w:rPr>
        <w:t>: guidance for new course developments</w:t>
      </w:r>
    </w:p>
    <w:p w14:paraId="4194D42E" w14:textId="77777777" w:rsidR="007C6245" w:rsidRDefault="007C6245" w:rsidP="005C16E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Definition of an Integrated Masters</w:t>
      </w:r>
    </w:p>
    <w:p w14:paraId="059CCADF" w14:textId="4A0D2DA1" w:rsidR="007C6245" w:rsidRPr="002D5C47" w:rsidRDefault="007C6245" w:rsidP="005C16E5">
      <w:pPr>
        <w:rPr>
          <w:rFonts w:ascii="Arial" w:hAnsi="Arial" w:cs="Arial"/>
          <w:sz w:val="20"/>
          <w:szCs w:val="20"/>
        </w:rPr>
      </w:pPr>
      <w:r w:rsidRPr="002D5C47">
        <w:rPr>
          <w:rFonts w:ascii="Arial" w:hAnsi="Arial" w:cs="Arial"/>
          <w:sz w:val="20"/>
          <w:szCs w:val="20"/>
        </w:rPr>
        <w:t>An ‘</w:t>
      </w:r>
      <w:r w:rsidR="00F8308C">
        <w:rPr>
          <w:rFonts w:ascii="Arial" w:hAnsi="Arial" w:cs="Arial"/>
          <w:sz w:val="20"/>
          <w:szCs w:val="20"/>
        </w:rPr>
        <w:t>I</w:t>
      </w:r>
      <w:r w:rsidRPr="002D5C47">
        <w:rPr>
          <w:rFonts w:ascii="Arial" w:hAnsi="Arial" w:cs="Arial"/>
          <w:sz w:val="20"/>
          <w:szCs w:val="20"/>
        </w:rPr>
        <w:t xml:space="preserve">ntegrated </w:t>
      </w:r>
      <w:proofErr w:type="spellStart"/>
      <w:proofErr w:type="gramStart"/>
      <w:r w:rsidR="00F8308C">
        <w:rPr>
          <w:rFonts w:ascii="Arial" w:hAnsi="Arial" w:cs="Arial"/>
          <w:sz w:val="20"/>
          <w:szCs w:val="20"/>
        </w:rPr>
        <w:t>M</w:t>
      </w:r>
      <w:r w:rsidRPr="002D5C47">
        <w:rPr>
          <w:rFonts w:ascii="Arial" w:hAnsi="Arial" w:cs="Arial"/>
          <w:sz w:val="20"/>
          <w:szCs w:val="20"/>
        </w:rPr>
        <w:t>asters</w:t>
      </w:r>
      <w:proofErr w:type="spellEnd"/>
      <w:proofErr w:type="gramEnd"/>
      <w:r w:rsidRPr="002D5C47">
        <w:rPr>
          <w:rFonts w:ascii="Arial" w:hAnsi="Arial" w:cs="Arial"/>
          <w:sz w:val="20"/>
          <w:szCs w:val="20"/>
        </w:rPr>
        <w:t xml:space="preserve"> degree’ is a course which combines three or four-year UG honours programme with one-year at Masters level. Students qualify with one single award which is a named award title (</w:t>
      </w:r>
      <w:proofErr w:type="spellStart"/>
      <w:r w:rsidRPr="002D5C47">
        <w:rPr>
          <w:rFonts w:ascii="Arial" w:hAnsi="Arial" w:cs="Arial"/>
          <w:sz w:val="20"/>
          <w:szCs w:val="20"/>
        </w:rPr>
        <w:t>e.g</w:t>
      </w:r>
      <w:proofErr w:type="spellEnd"/>
      <w:r w:rsidRPr="002D5C47">
        <w:rPr>
          <w:rFonts w:ascii="Arial" w:hAnsi="Arial" w:cs="Arial"/>
          <w:sz w:val="20"/>
          <w:szCs w:val="20"/>
        </w:rPr>
        <w:t xml:space="preserve"> MEng) as opposed to an BA/BSc and/or MA/MSc.</w:t>
      </w:r>
    </w:p>
    <w:p w14:paraId="6B1F7E89" w14:textId="77777777" w:rsidR="0020638F" w:rsidRDefault="0020638F" w:rsidP="002063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Structure</w:t>
      </w:r>
    </w:p>
    <w:p w14:paraId="32465072" w14:textId="77777777" w:rsidR="0020638F" w:rsidRPr="005E6F9B" w:rsidRDefault="0020638F" w:rsidP="002063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detailed in the University’s </w:t>
      </w:r>
      <w:hyperlink r:id="rId5" w:history="1">
        <w:r w:rsidRPr="00CD512B">
          <w:rPr>
            <w:rStyle w:val="Hyperlink"/>
            <w:rFonts w:ascii="Arial" w:hAnsi="Arial" w:cs="Arial"/>
            <w:sz w:val="20"/>
            <w:szCs w:val="20"/>
          </w:rPr>
          <w:t>Framework for Undergraduate Rules of Assessment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CD512B">
        <w:rPr>
          <w:rFonts w:ascii="Arial" w:hAnsi="Arial" w:cs="Arial"/>
          <w:sz w:val="20"/>
          <w:szCs w:val="20"/>
        </w:rPr>
        <w:t>Integrated Masters degrees at the University of Essex typically consist as follows:</w:t>
      </w:r>
    </w:p>
    <w:p w14:paraId="4E88F6DC" w14:textId="77777777" w:rsidR="0020638F" w:rsidRDefault="0020638F" w:rsidP="002063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four-year course consisting of 480 credits, including 120 credits at Level 7 in the final year of the course</w:t>
      </w:r>
    </w:p>
    <w:p w14:paraId="777340C4" w14:textId="77777777" w:rsidR="0020638F" w:rsidRPr="005C16E5" w:rsidRDefault="0020638F" w:rsidP="002063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five-year course consisting of 600 credits, including 120 credits at Level 7 in the final year of the course. This model also includes a placement year, year abroad, or foundation year as part of the undergraduate provision.</w:t>
      </w:r>
    </w:p>
    <w:p w14:paraId="1B88A028" w14:textId="4CCBB700" w:rsidR="007C6245" w:rsidRPr="0020638F" w:rsidRDefault="005C16E5" w:rsidP="002063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C6245">
        <w:rPr>
          <w:rFonts w:ascii="Arial" w:hAnsi="Arial" w:cs="Arial"/>
          <w:sz w:val="20"/>
          <w:szCs w:val="20"/>
        </w:rPr>
        <w:t xml:space="preserve">tructures need to ensure that students </w:t>
      </w:r>
      <w:proofErr w:type="gramStart"/>
      <w:r w:rsidR="007C6245">
        <w:rPr>
          <w:rFonts w:ascii="Arial" w:hAnsi="Arial" w:cs="Arial"/>
          <w:sz w:val="20"/>
          <w:szCs w:val="20"/>
        </w:rPr>
        <w:t>are able to</w:t>
      </w:r>
      <w:proofErr w:type="gramEnd"/>
      <w:r w:rsidR="007C6245">
        <w:rPr>
          <w:rFonts w:ascii="Arial" w:hAnsi="Arial" w:cs="Arial"/>
          <w:sz w:val="20"/>
          <w:szCs w:val="20"/>
        </w:rPr>
        <w:t xml:space="preserve"> meet the requirements of </w:t>
      </w:r>
      <w:r w:rsidR="009B557A">
        <w:rPr>
          <w:rFonts w:ascii="Arial" w:hAnsi="Arial" w:cs="Arial"/>
          <w:sz w:val="20"/>
          <w:szCs w:val="20"/>
        </w:rPr>
        <w:t xml:space="preserve">a </w:t>
      </w:r>
      <w:r w:rsidR="007C6245">
        <w:rPr>
          <w:rFonts w:ascii="Arial" w:hAnsi="Arial" w:cs="Arial"/>
          <w:sz w:val="20"/>
          <w:szCs w:val="20"/>
        </w:rPr>
        <w:t xml:space="preserve">bachelors with honours in full, in order to </w:t>
      </w:r>
      <w:r w:rsidR="007D5A6F">
        <w:rPr>
          <w:rFonts w:ascii="Arial" w:hAnsi="Arial" w:cs="Arial"/>
          <w:sz w:val="20"/>
          <w:szCs w:val="20"/>
        </w:rPr>
        <w:t xml:space="preserve">meet QAA requirements and to </w:t>
      </w:r>
      <w:r w:rsidR="007C6245">
        <w:rPr>
          <w:rFonts w:ascii="Arial" w:hAnsi="Arial" w:cs="Arial"/>
          <w:sz w:val="20"/>
          <w:szCs w:val="20"/>
        </w:rPr>
        <w:t xml:space="preserve">ensure that </w:t>
      </w:r>
      <w:r w:rsidR="007D5A6F">
        <w:rPr>
          <w:rFonts w:ascii="Arial" w:hAnsi="Arial" w:cs="Arial"/>
          <w:sz w:val="20"/>
          <w:szCs w:val="20"/>
        </w:rPr>
        <w:t>a BA/BSc</w:t>
      </w:r>
      <w:r w:rsidR="00F8308C">
        <w:rPr>
          <w:rFonts w:ascii="Arial" w:hAnsi="Arial" w:cs="Arial"/>
          <w:sz w:val="20"/>
          <w:szCs w:val="20"/>
        </w:rPr>
        <w:t xml:space="preserve"> </w:t>
      </w:r>
      <w:r w:rsidR="007D5A6F">
        <w:rPr>
          <w:rFonts w:ascii="Arial" w:hAnsi="Arial" w:cs="Arial"/>
          <w:sz w:val="20"/>
          <w:szCs w:val="20"/>
        </w:rPr>
        <w:t>(Hons)</w:t>
      </w:r>
      <w:r w:rsidR="007C6245">
        <w:rPr>
          <w:rFonts w:ascii="Arial" w:hAnsi="Arial" w:cs="Arial"/>
          <w:sz w:val="20"/>
          <w:szCs w:val="20"/>
        </w:rPr>
        <w:t xml:space="preserve"> would be available as an exit award for the course.</w:t>
      </w:r>
    </w:p>
    <w:p w14:paraId="6374E93C" w14:textId="77777777" w:rsidR="0020638F" w:rsidRPr="0020638F" w:rsidRDefault="0020638F" w:rsidP="0020638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724804F" w14:textId="77777777" w:rsidR="0020638F" w:rsidRDefault="0020638F" w:rsidP="002063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Awards/Titles</w:t>
      </w:r>
    </w:p>
    <w:p w14:paraId="6E5B248C" w14:textId="77777777" w:rsidR="0020638F" w:rsidRDefault="0020638F" w:rsidP="002063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512B">
        <w:rPr>
          <w:rFonts w:ascii="Arial" w:hAnsi="Arial" w:cs="Arial"/>
          <w:sz w:val="20"/>
          <w:szCs w:val="20"/>
        </w:rPr>
        <w:t xml:space="preserve">The awards for Integrated </w:t>
      </w:r>
      <w:proofErr w:type="spellStart"/>
      <w:r w:rsidRPr="00CD512B">
        <w:rPr>
          <w:rFonts w:ascii="Arial" w:hAnsi="Arial" w:cs="Arial"/>
          <w:sz w:val="20"/>
          <w:szCs w:val="20"/>
        </w:rPr>
        <w:t>Masters</w:t>
      </w:r>
      <w:proofErr w:type="spellEnd"/>
      <w:r w:rsidRPr="00CD512B">
        <w:rPr>
          <w:rFonts w:ascii="Arial" w:hAnsi="Arial" w:cs="Arial"/>
          <w:sz w:val="20"/>
          <w:szCs w:val="20"/>
        </w:rPr>
        <w:t xml:space="preserve"> degree typically take the form of </w:t>
      </w:r>
      <w:proofErr w:type="gramStart"/>
      <w:r w:rsidRPr="00CD512B">
        <w:rPr>
          <w:rFonts w:ascii="Arial" w:hAnsi="Arial" w:cs="Arial"/>
          <w:sz w:val="20"/>
          <w:szCs w:val="20"/>
        </w:rPr>
        <w:t>M[</w:t>
      </w:r>
      <w:proofErr w:type="gramEnd"/>
      <w:r w:rsidRPr="00CD512B">
        <w:rPr>
          <w:rFonts w:ascii="Arial" w:hAnsi="Arial" w:cs="Arial"/>
          <w:sz w:val="20"/>
          <w:szCs w:val="20"/>
        </w:rPr>
        <w:t>abbreviated subject name]. The following Integrated Masters awards have already been approved by the University:</w:t>
      </w:r>
    </w:p>
    <w:p w14:paraId="11AE52B2" w14:textId="77777777" w:rsid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  <w:sectPr w:rsidR="00F8308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84529E4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Accounting (</w:t>
      </w:r>
      <w:proofErr w:type="spellStart"/>
      <w:r w:rsidRPr="00F8308C">
        <w:rPr>
          <w:rFonts w:ascii="Arial" w:hAnsi="Arial" w:cs="Arial"/>
          <w:sz w:val="20"/>
          <w:szCs w:val="20"/>
        </w:rPr>
        <w:t>MAcc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6064B631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Art History (</w:t>
      </w:r>
      <w:proofErr w:type="spellStart"/>
      <w:r w:rsidRPr="00F8308C">
        <w:rPr>
          <w:rFonts w:ascii="Arial" w:hAnsi="Arial" w:cs="Arial"/>
          <w:sz w:val="20"/>
          <w:szCs w:val="20"/>
        </w:rPr>
        <w:t>MArtH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12AE4FA5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Economics (</w:t>
      </w:r>
      <w:proofErr w:type="spellStart"/>
      <w:r w:rsidRPr="00F8308C">
        <w:rPr>
          <w:rFonts w:ascii="Arial" w:hAnsi="Arial" w:cs="Arial"/>
          <w:sz w:val="20"/>
          <w:szCs w:val="20"/>
        </w:rPr>
        <w:t>MEcon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44321840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Electronic Engineering (MEng)</w:t>
      </w:r>
    </w:p>
    <w:p w14:paraId="50D928A4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Engineering (MEng)</w:t>
      </w:r>
    </w:p>
    <w:p w14:paraId="292E4F97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History (</w:t>
      </w:r>
      <w:proofErr w:type="spellStart"/>
      <w:r w:rsidRPr="00F8308C">
        <w:rPr>
          <w:rFonts w:ascii="Arial" w:hAnsi="Arial" w:cs="Arial"/>
          <w:sz w:val="20"/>
          <w:szCs w:val="20"/>
        </w:rPr>
        <w:t>MHist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70B01FD5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Languages (</w:t>
      </w:r>
      <w:proofErr w:type="spellStart"/>
      <w:r w:rsidRPr="00F8308C">
        <w:rPr>
          <w:rFonts w:ascii="Arial" w:hAnsi="Arial" w:cs="Arial"/>
          <w:sz w:val="20"/>
          <w:szCs w:val="20"/>
        </w:rPr>
        <w:t>MLang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2FC20F43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Law (</w:t>
      </w:r>
      <w:proofErr w:type="spellStart"/>
      <w:r w:rsidRPr="00F8308C">
        <w:rPr>
          <w:rFonts w:ascii="Arial" w:hAnsi="Arial" w:cs="Arial"/>
          <w:sz w:val="20"/>
          <w:szCs w:val="20"/>
        </w:rPr>
        <w:t>MLaw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42D051EF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Linguistics (</w:t>
      </w:r>
      <w:proofErr w:type="spellStart"/>
      <w:r w:rsidRPr="00F8308C">
        <w:rPr>
          <w:rFonts w:ascii="Arial" w:hAnsi="Arial" w:cs="Arial"/>
          <w:sz w:val="20"/>
          <w:szCs w:val="20"/>
        </w:rPr>
        <w:t>MLing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4CE41A6F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Literary Studies (</w:t>
      </w:r>
      <w:proofErr w:type="spellStart"/>
      <w:r w:rsidRPr="00F8308C">
        <w:rPr>
          <w:rFonts w:ascii="Arial" w:hAnsi="Arial" w:cs="Arial"/>
          <w:sz w:val="20"/>
          <w:szCs w:val="20"/>
        </w:rPr>
        <w:t>MLit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65D701A5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Management (</w:t>
      </w:r>
      <w:proofErr w:type="spellStart"/>
      <w:r w:rsidRPr="00F8308C">
        <w:rPr>
          <w:rFonts w:ascii="Arial" w:hAnsi="Arial" w:cs="Arial"/>
          <w:sz w:val="20"/>
          <w:szCs w:val="20"/>
        </w:rPr>
        <w:t>MMan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0466F14F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Mathematics (</w:t>
      </w:r>
      <w:proofErr w:type="spellStart"/>
      <w:r w:rsidRPr="00F8308C">
        <w:rPr>
          <w:rFonts w:ascii="Arial" w:hAnsi="Arial" w:cs="Arial"/>
          <w:sz w:val="20"/>
          <w:szCs w:val="20"/>
        </w:rPr>
        <w:t>MMath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7C44196B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Philosophy (</w:t>
      </w:r>
      <w:proofErr w:type="spellStart"/>
      <w:r w:rsidRPr="00F8308C">
        <w:rPr>
          <w:rFonts w:ascii="Arial" w:hAnsi="Arial" w:cs="Arial"/>
          <w:sz w:val="20"/>
          <w:szCs w:val="20"/>
        </w:rPr>
        <w:t>MPhilo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5B902723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Politics (</w:t>
      </w:r>
      <w:proofErr w:type="spellStart"/>
      <w:r w:rsidRPr="00F8308C">
        <w:rPr>
          <w:rFonts w:ascii="Arial" w:hAnsi="Arial" w:cs="Arial"/>
          <w:sz w:val="20"/>
          <w:szCs w:val="20"/>
        </w:rPr>
        <w:t>MPol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443A60ED" w14:textId="77777777" w:rsidR="00F8308C" w:rsidRP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308C">
        <w:rPr>
          <w:rFonts w:ascii="Arial" w:hAnsi="Arial" w:cs="Arial"/>
          <w:sz w:val="20"/>
          <w:szCs w:val="20"/>
        </w:rPr>
        <w:t>Science (</w:t>
      </w:r>
      <w:proofErr w:type="spellStart"/>
      <w:r w:rsidRPr="00F8308C">
        <w:rPr>
          <w:rFonts w:ascii="Arial" w:hAnsi="Arial" w:cs="Arial"/>
          <w:sz w:val="20"/>
          <w:szCs w:val="20"/>
        </w:rPr>
        <w:t>MSci</w:t>
      </w:r>
      <w:proofErr w:type="spellEnd"/>
      <w:r w:rsidRPr="00F8308C">
        <w:rPr>
          <w:rFonts w:ascii="Arial" w:hAnsi="Arial" w:cs="Arial"/>
          <w:sz w:val="20"/>
          <w:szCs w:val="20"/>
        </w:rPr>
        <w:t>)</w:t>
      </w:r>
    </w:p>
    <w:p w14:paraId="67A72CD6" w14:textId="0C680F40" w:rsidR="00F8308C" w:rsidRDefault="00F8308C" w:rsidP="00F830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  <w:sectPr w:rsidR="00F8308C" w:rsidSect="00F8308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8308C">
        <w:rPr>
          <w:rFonts w:ascii="Arial" w:hAnsi="Arial" w:cs="Arial"/>
          <w:sz w:val="20"/>
          <w:szCs w:val="20"/>
        </w:rPr>
        <w:t>Sociology (</w:t>
      </w:r>
      <w:proofErr w:type="spellStart"/>
      <w:r w:rsidRPr="00F8308C">
        <w:rPr>
          <w:rFonts w:ascii="Arial" w:hAnsi="Arial" w:cs="Arial"/>
          <w:sz w:val="20"/>
          <w:szCs w:val="20"/>
        </w:rPr>
        <w:t>MSo</w:t>
      </w:r>
      <w:r>
        <w:rPr>
          <w:rFonts w:ascii="Arial" w:hAnsi="Arial" w:cs="Arial"/>
          <w:sz w:val="20"/>
          <w:szCs w:val="20"/>
        </w:rPr>
        <w:t>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12FC4CDC" w14:textId="053814D6" w:rsidR="00F8308C" w:rsidRPr="00F8308C" w:rsidRDefault="00F8308C" w:rsidP="00F8308C">
      <w:pPr>
        <w:rPr>
          <w:rFonts w:ascii="Arial" w:hAnsi="Arial" w:cs="Arial"/>
          <w:sz w:val="20"/>
          <w:szCs w:val="20"/>
        </w:rPr>
      </w:pPr>
    </w:p>
    <w:p w14:paraId="25F29D99" w14:textId="741D6045" w:rsidR="0020638F" w:rsidRPr="005E6F9B" w:rsidRDefault="0020638F" w:rsidP="00F8308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6F9B">
        <w:rPr>
          <w:rFonts w:ascii="Arial" w:hAnsi="Arial" w:cs="Arial"/>
          <w:sz w:val="20"/>
          <w:szCs w:val="20"/>
        </w:rPr>
        <w:t xml:space="preserve">Departments will need to confirm the proposed award for their Integrated </w:t>
      </w:r>
      <w:proofErr w:type="spellStart"/>
      <w:proofErr w:type="gramStart"/>
      <w:r w:rsidRPr="005E6F9B">
        <w:rPr>
          <w:rFonts w:ascii="Arial" w:hAnsi="Arial" w:cs="Arial"/>
          <w:sz w:val="20"/>
          <w:szCs w:val="20"/>
        </w:rPr>
        <w:t>Masters</w:t>
      </w:r>
      <w:proofErr w:type="spellEnd"/>
      <w:proofErr w:type="gramEnd"/>
      <w:r w:rsidRPr="005E6F9B">
        <w:rPr>
          <w:rFonts w:ascii="Arial" w:hAnsi="Arial" w:cs="Arial"/>
          <w:sz w:val="20"/>
          <w:szCs w:val="20"/>
        </w:rPr>
        <w:t xml:space="preserve"> degree</w:t>
      </w:r>
      <w:r>
        <w:rPr>
          <w:rFonts w:ascii="Arial" w:hAnsi="Arial" w:cs="Arial"/>
          <w:sz w:val="20"/>
          <w:szCs w:val="20"/>
        </w:rPr>
        <w:t xml:space="preserve">; if the award is not one of the above then the new award </w:t>
      </w:r>
      <w:r w:rsidRPr="005E6F9B">
        <w:rPr>
          <w:rFonts w:ascii="Arial" w:hAnsi="Arial" w:cs="Arial"/>
          <w:sz w:val="20"/>
          <w:szCs w:val="20"/>
        </w:rPr>
        <w:t>will need to be approved by Senate.</w:t>
      </w:r>
    </w:p>
    <w:p w14:paraId="6794AE1A" w14:textId="77777777" w:rsidR="0020638F" w:rsidRDefault="0020638F" w:rsidP="002063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E80C23" w14:textId="3E3851FE" w:rsidR="0020638F" w:rsidRDefault="0020638F" w:rsidP="002063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6F9B">
        <w:rPr>
          <w:rFonts w:ascii="Arial" w:hAnsi="Arial" w:cs="Arial"/>
          <w:sz w:val="20"/>
          <w:szCs w:val="20"/>
        </w:rPr>
        <w:t>When the proposed degrees include a placement year, year abroad or foundation year as part of the undergraduate provision, it is anticipated that this will be included in the course title</w:t>
      </w:r>
      <w:r w:rsidR="00FB2A68">
        <w:rPr>
          <w:rFonts w:ascii="Arial" w:hAnsi="Arial" w:cs="Arial"/>
          <w:sz w:val="20"/>
          <w:szCs w:val="20"/>
        </w:rPr>
        <w:t>,</w:t>
      </w:r>
      <w:r w:rsidRPr="005E6F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E6F9B">
        <w:rPr>
          <w:rFonts w:ascii="Arial" w:hAnsi="Arial" w:cs="Arial"/>
          <w:sz w:val="20"/>
          <w:szCs w:val="20"/>
        </w:rPr>
        <w:t>e.g.</w:t>
      </w:r>
      <w:proofErr w:type="gramEnd"/>
      <w:r w:rsidRPr="005E6F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6F9B">
        <w:rPr>
          <w:rFonts w:ascii="Arial" w:hAnsi="Arial" w:cs="Arial"/>
          <w:sz w:val="20"/>
          <w:szCs w:val="20"/>
        </w:rPr>
        <w:t>MSci</w:t>
      </w:r>
      <w:proofErr w:type="spellEnd"/>
      <w:r w:rsidRPr="005E6F9B">
        <w:rPr>
          <w:rFonts w:ascii="Arial" w:hAnsi="Arial" w:cs="Arial"/>
          <w:sz w:val="20"/>
          <w:szCs w:val="20"/>
        </w:rPr>
        <w:t xml:space="preserve"> Computer Science (Including Placement Year)</w:t>
      </w:r>
    </w:p>
    <w:p w14:paraId="5A267BBF" w14:textId="77777777" w:rsidR="0020638F" w:rsidRDefault="0020638F" w:rsidP="0020638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6630D8" w14:textId="29C239F1" w:rsidR="0020638F" w:rsidRDefault="0020638F" w:rsidP="002063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Research </w:t>
      </w:r>
      <w:r w:rsidR="00FB2A68">
        <w:rPr>
          <w:rFonts w:ascii="Arial" w:hAnsi="Arial" w:cs="Arial"/>
          <w:b/>
          <w:sz w:val="20"/>
          <w:szCs w:val="20"/>
        </w:rPr>
        <w:t>Component</w:t>
      </w:r>
    </w:p>
    <w:p w14:paraId="3C20331B" w14:textId="6C166885" w:rsidR="001E758C" w:rsidRDefault="00FB2A68" w:rsidP="002063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E720EE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 xml:space="preserve"> </w:t>
      </w:r>
      <w:r w:rsidR="00E720EE">
        <w:rPr>
          <w:rFonts w:ascii="Arial" w:hAnsi="Arial" w:cs="Arial"/>
          <w:sz w:val="20"/>
          <w:szCs w:val="20"/>
        </w:rPr>
        <w:t xml:space="preserve">should be a </w:t>
      </w:r>
      <w:r>
        <w:rPr>
          <w:rFonts w:ascii="Arial" w:hAnsi="Arial" w:cs="Arial"/>
          <w:sz w:val="20"/>
          <w:szCs w:val="20"/>
        </w:rPr>
        <w:t xml:space="preserve">research component </w:t>
      </w:r>
      <w:r w:rsidR="00E720EE">
        <w:rPr>
          <w:rFonts w:ascii="Arial" w:hAnsi="Arial" w:cs="Arial"/>
          <w:sz w:val="20"/>
          <w:szCs w:val="20"/>
        </w:rPr>
        <w:t xml:space="preserve">at Level 6 (in line with the UG course). </w:t>
      </w:r>
      <w:r w:rsidR="0020638F" w:rsidRPr="0020638F">
        <w:rPr>
          <w:rFonts w:ascii="Arial" w:hAnsi="Arial" w:cs="Arial"/>
          <w:sz w:val="20"/>
          <w:szCs w:val="20"/>
        </w:rPr>
        <w:t>In order to meet QAA requirements</w:t>
      </w:r>
      <w:r w:rsidR="001E758C">
        <w:rPr>
          <w:rFonts w:ascii="Arial" w:hAnsi="Arial" w:cs="Arial"/>
          <w:sz w:val="20"/>
          <w:szCs w:val="20"/>
        </w:rPr>
        <w:t xml:space="preserve"> and the characteristics of a</w:t>
      </w:r>
      <w:r w:rsidR="00E720EE">
        <w:rPr>
          <w:rFonts w:ascii="Arial" w:hAnsi="Arial" w:cs="Arial"/>
          <w:sz w:val="20"/>
          <w:szCs w:val="20"/>
        </w:rPr>
        <w:t>n Integrated Masters</w:t>
      </w:r>
      <w:r w:rsidR="0020638F" w:rsidRPr="0020638F">
        <w:rPr>
          <w:rFonts w:ascii="Arial" w:hAnsi="Arial" w:cs="Arial"/>
          <w:sz w:val="20"/>
          <w:szCs w:val="20"/>
        </w:rPr>
        <w:t xml:space="preserve">, the final year of the Integrated </w:t>
      </w:r>
      <w:proofErr w:type="spellStart"/>
      <w:proofErr w:type="gramStart"/>
      <w:r w:rsidR="0020638F" w:rsidRPr="0020638F">
        <w:rPr>
          <w:rFonts w:ascii="Arial" w:hAnsi="Arial" w:cs="Arial"/>
          <w:sz w:val="20"/>
          <w:szCs w:val="20"/>
        </w:rPr>
        <w:t>Masters</w:t>
      </w:r>
      <w:proofErr w:type="spellEnd"/>
      <w:proofErr w:type="gramEnd"/>
      <w:r w:rsidR="0020638F" w:rsidRPr="0020638F">
        <w:rPr>
          <w:rFonts w:ascii="Arial" w:hAnsi="Arial" w:cs="Arial"/>
          <w:sz w:val="20"/>
          <w:szCs w:val="20"/>
        </w:rPr>
        <w:t xml:space="preserve"> degree (consisting of Level 7 credits), </w:t>
      </w:r>
      <w:r w:rsidR="007D5A6F">
        <w:rPr>
          <w:rFonts w:ascii="Arial" w:hAnsi="Arial" w:cs="Arial"/>
          <w:sz w:val="20"/>
          <w:szCs w:val="20"/>
        </w:rPr>
        <w:t>must</w:t>
      </w:r>
      <w:r w:rsidR="0020638F" w:rsidRPr="0020638F">
        <w:rPr>
          <w:rFonts w:ascii="Arial" w:hAnsi="Arial" w:cs="Arial"/>
          <w:sz w:val="20"/>
          <w:szCs w:val="20"/>
        </w:rPr>
        <w:t xml:space="preserve"> include research methods training and </w:t>
      </w:r>
      <w:r w:rsidR="007D5A6F">
        <w:rPr>
          <w:rFonts w:ascii="Arial" w:hAnsi="Arial" w:cs="Arial"/>
          <w:sz w:val="20"/>
          <w:szCs w:val="20"/>
        </w:rPr>
        <w:t xml:space="preserve">should </w:t>
      </w:r>
      <w:r>
        <w:rPr>
          <w:rFonts w:ascii="Arial" w:hAnsi="Arial" w:cs="Arial"/>
          <w:sz w:val="20"/>
          <w:szCs w:val="20"/>
        </w:rPr>
        <w:t xml:space="preserve">normally </w:t>
      </w:r>
      <w:r w:rsidR="007D5A6F">
        <w:rPr>
          <w:rFonts w:ascii="Arial" w:hAnsi="Arial" w:cs="Arial"/>
          <w:sz w:val="20"/>
          <w:szCs w:val="20"/>
        </w:rPr>
        <w:t xml:space="preserve">include </w:t>
      </w:r>
      <w:r w:rsidR="0020638F" w:rsidRPr="0020638F">
        <w:rPr>
          <w:rFonts w:ascii="Arial" w:hAnsi="Arial" w:cs="Arial"/>
          <w:sz w:val="20"/>
          <w:szCs w:val="20"/>
        </w:rPr>
        <w:t>a form of research project (either individual or group projects)</w:t>
      </w:r>
      <w:r w:rsidR="001E758C">
        <w:rPr>
          <w:rFonts w:ascii="Arial" w:hAnsi="Arial" w:cs="Arial"/>
          <w:sz w:val="20"/>
          <w:szCs w:val="20"/>
        </w:rPr>
        <w:t>.</w:t>
      </w:r>
    </w:p>
    <w:p w14:paraId="19A485D8" w14:textId="32B4A49D" w:rsidR="009B557A" w:rsidRDefault="009B557A" w:rsidP="002063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research project </w:t>
      </w:r>
      <w:r w:rsidR="00FB2A68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not be required where the degree is based around ‘professional or practice </w:t>
      </w:r>
      <w:proofErr w:type="gramStart"/>
      <w:r>
        <w:rPr>
          <w:rFonts w:ascii="Arial" w:hAnsi="Arial" w:cs="Arial"/>
          <w:sz w:val="20"/>
          <w:szCs w:val="20"/>
        </w:rPr>
        <w:t>masters</w:t>
      </w:r>
      <w:proofErr w:type="gramEnd"/>
      <w:r>
        <w:rPr>
          <w:rFonts w:ascii="Arial" w:hAnsi="Arial" w:cs="Arial"/>
          <w:sz w:val="20"/>
          <w:szCs w:val="20"/>
        </w:rPr>
        <w:t xml:space="preserve"> degrees,’ which aim to enable graduates to qualify for entry into a particular profession, where there are PSRB requirements, or to provide development opportunities related to particular professions. </w:t>
      </w:r>
    </w:p>
    <w:p w14:paraId="7D6B3B7B" w14:textId="1C343C64" w:rsidR="007D5A6F" w:rsidRPr="005C16E5" w:rsidRDefault="009B557A" w:rsidP="002063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methods training and research projects</w:t>
      </w:r>
      <w:r w:rsidR="0020638F" w:rsidRPr="0020638F">
        <w:rPr>
          <w:rFonts w:ascii="Arial" w:hAnsi="Arial" w:cs="Arial"/>
          <w:sz w:val="20"/>
          <w:szCs w:val="20"/>
        </w:rPr>
        <w:t xml:space="preserve"> can be included either as a separate module</w:t>
      </w:r>
      <w:r>
        <w:rPr>
          <w:rFonts w:ascii="Arial" w:hAnsi="Arial" w:cs="Arial"/>
          <w:sz w:val="20"/>
          <w:szCs w:val="20"/>
        </w:rPr>
        <w:t>(s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20638F" w:rsidRPr="0020638F">
        <w:rPr>
          <w:rFonts w:ascii="Arial" w:hAnsi="Arial" w:cs="Arial"/>
          <w:sz w:val="20"/>
          <w:szCs w:val="20"/>
        </w:rPr>
        <w:t>, or</w:t>
      </w:r>
      <w:proofErr w:type="gramEnd"/>
      <w:r w:rsidR="0020638F" w:rsidRPr="0020638F">
        <w:rPr>
          <w:rFonts w:ascii="Arial" w:hAnsi="Arial" w:cs="Arial"/>
          <w:sz w:val="20"/>
          <w:szCs w:val="20"/>
        </w:rPr>
        <w:t xml:space="preserve"> embedded within other modules.</w:t>
      </w:r>
      <w:r w:rsidR="005C16E5">
        <w:rPr>
          <w:rFonts w:ascii="Arial" w:hAnsi="Arial" w:cs="Arial"/>
          <w:sz w:val="20"/>
          <w:szCs w:val="20"/>
        </w:rPr>
        <w:t xml:space="preserve"> </w:t>
      </w:r>
    </w:p>
    <w:p w14:paraId="15D5D8F2" w14:textId="77777777" w:rsidR="0020638F" w:rsidRDefault="0020638F" w:rsidP="002063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Process</w:t>
      </w:r>
    </w:p>
    <w:p w14:paraId="043DAC26" w14:textId="5DC76655" w:rsidR="00F8308C" w:rsidRDefault="00F8308C" w:rsidP="002063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Integrated </w:t>
      </w:r>
      <w:proofErr w:type="gramStart"/>
      <w:r>
        <w:rPr>
          <w:rFonts w:ascii="Arial" w:hAnsi="Arial" w:cs="Arial"/>
          <w:sz w:val="20"/>
          <w:szCs w:val="20"/>
        </w:rPr>
        <w:t>Masters</w:t>
      </w:r>
      <w:proofErr w:type="gramEnd"/>
      <w:r>
        <w:rPr>
          <w:rFonts w:ascii="Arial" w:hAnsi="Arial" w:cs="Arial"/>
          <w:sz w:val="20"/>
          <w:szCs w:val="20"/>
        </w:rPr>
        <w:t xml:space="preserve"> degrees are approved through the new course approval process. An overview of this process, further guidance and all relevant forms are available at: </w:t>
      </w:r>
      <w:hyperlink r:id="rId6" w:history="1">
        <w:r w:rsidRPr="00C45E33">
          <w:rPr>
            <w:rStyle w:val="Hyperlink"/>
            <w:rFonts w:ascii="Arial" w:hAnsi="Arial" w:cs="Arial"/>
            <w:sz w:val="20"/>
            <w:szCs w:val="20"/>
          </w:rPr>
          <w:t>https://www.essex.ac.uk/staff/academic-standards-and-quality/new-courses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39763825" w14:textId="77777777" w:rsidR="00A40DE5" w:rsidRPr="00A40DE5" w:rsidRDefault="00A40DE5" w:rsidP="00A40D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40DE5">
        <w:rPr>
          <w:rFonts w:ascii="Arial" w:eastAsia="Times New Roman" w:hAnsi="Arial" w:cs="Arial"/>
          <w:b/>
          <w:bCs/>
          <w:sz w:val="16"/>
          <w:szCs w:val="16"/>
          <w:lang w:eastAsia="en-GB"/>
        </w:rPr>
        <w:lastRenderedPageBreak/>
        <w:t>Document review information</w:t>
      </w:r>
      <w:r w:rsidRPr="00A40DE5">
        <w:rPr>
          <w:rFonts w:ascii="Arial" w:eastAsia="Times New Roman" w:hAnsi="Arial" w:cs="Arial"/>
          <w:sz w:val="16"/>
          <w:szCs w:val="16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3540"/>
      </w:tblGrid>
      <w:tr w:rsidR="00A40DE5" w:rsidRPr="00A40DE5" w14:paraId="5F7FCEEB" w14:textId="77777777" w:rsidTr="00A40DE5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4BB90" w14:textId="77777777" w:rsidR="00A40DE5" w:rsidRPr="00A40DE5" w:rsidRDefault="00A40DE5" w:rsidP="00A40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0D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Document owner</w:t>
            </w:r>
            <w:r w:rsidRPr="00A40DE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C27CD" w14:textId="77777777" w:rsidR="00A40DE5" w:rsidRPr="00A40DE5" w:rsidRDefault="00A40DE5" w:rsidP="00A40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0D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Quality and Academic Development Team</w:t>
            </w:r>
            <w:r w:rsidRPr="00A40DE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40DE5" w:rsidRPr="00A40DE5" w14:paraId="4F900DD0" w14:textId="77777777" w:rsidTr="00A40DE5"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1F958" w14:textId="77777777" w:rsidR="00A40DE5" w:rsidRPr="00A40DE5" w:rsidRDefault="00A40DE5" w:rsidP="00A40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0D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Document last reviewed by</w:t>
            </w:r>
            <w:r w:rsidRPr="00A40DE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774FE" w14:textId="3BC17823" w:rsidR="00A40DE5" w:rsidRPr="00A40DE5" w:rsidRDefault="00A40DE5" w:rsidP="00A40D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Ceri Law, Senior Quality and Academic Development Manager</w:t>
            </w:r>
            <w:r w:rsidRPr="00A40DE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40DE5" w:rsidRPr="00A40DE5" w14:paraId="5FB9E95B" w14:textId="77777777" w:rsidTr="00A40DE5"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EC0B9" w14:textId="77777777" w:rsidR="00A40DE5" w:rsidRPr="00A40DE5" w:rsidRDefault="00A40DE5" w:rsidP="00A40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0D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Date last reviewed</w:t>
            </w:r>
            <w:r w:rsidRPr="00A40DE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46316" w14:textId="3300A0CE" w:rsidR="00A40DE5" w:rsidRPr="00A40DE5" w:rsidRDefault="00A40DE5" w:rsidP="00A40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0D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October </w:t>
            </w:r>
            <w:r w:rsidRPr="00A40D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2022</w:t>
            </w:r>
            <w:r w:rsidRPr="00A40DE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40DE5" w:rsidRPr="00A40DE5" w14:paraId="0119F89D" w14:textId="77777777" w:rsidTr="00013EC4">
        <w:tc>
          <w:tcPr>
            <w:tcW w:w="2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3A21E5" w14:textId="77777777" w:rsidR="00A40DE5" w:rsidRPr="00A40DE5" w:rsidRDefault="00A40DE5" w:rsidP="00A40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0D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Review frequency</w:t>
            </w:r>
            <w:r w:rsidRPr="00A40DE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333463B" w14:textId="3A25BC34" w:rsidR="00A40DE5" w:rsidRPr="00A40DE5" w:rsidRDefault="00A40DE5" w:rsidP="00A40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0D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Annually</w:t>
            </w:r>
          </w:p>
        </w:tc>
      </w:tr>
      <w:tr w:rsidR="00013EC4" w:rsidRPr="00A40DE5" w14:paraId="7C3DDD0F" w14:textId="77777777" w:rsidTr="00A40DE5"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61D99" w14:textId="77777777" w:rsidR="00013EC4" w:rsidRPr="00A40DE5" w:rsidRDefault="00013EC4" w:rsidP="00A40D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A4961" w14:textId="77777777" w:rsidR="00013EC4" w:rsidRPr="00A40DE5" w:rsidRDefault="00013EC4" w:rsidP="00A40D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</w:tbl>
    <w:p w14:paraId="45ADBCC5" w14:textId="77777777" w:rsidR="00F8308C" w:rsidRPr="00F8308C" w:rsidRDefault="00F8308C" w:rsidP="0020638F">
      <w:pPr>
        <w:rPr>
          <w:rFonts w:ascii="Arial" w:hAnsi="Arial" w:cs="Arial"/>
          <w:sz w:val="20"/>
          <w:szCs w:val="20"/>
        </w:rPr>
      </w:pPr>
    </w:p>
    <w:sectPr w:rsidR="00F8308C" w:rsidRPr="00F8308C" w:rsidSect="00F830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EC8"/>
    <w:multiLevelType w:val="hybridMultilevel"/>
    <w:tmpl w:val="BB24E7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60A11"/>
    <w:multiLevelType w:val="hybridMultilevel"/>
    <w:tmpl w:val="AF0C04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6023F"/>
    <w:multiLevelType w:val="multilevel"/>
    <w:tmpl w:val="AF944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17A1D"/>
    <w:multiLevelType w:val="hybridMultilevel"/>
    <w:tmpl w:val="C38427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E7DD4"/>
    <w:multiLevelType w:val="hybridMultilevel"/>
    <w:tmpl w:val="F93C39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8F"/>
    <w:rsid w:val="00013EC4"/>
    <w:rsid w:val="001E758C"/>
    <w:rsid w:val="0020638F"/>
    <w:rsid w:val="002D5C47"/>
    <w:rsid w:val="005B03A9"/>
    <w:rsid w:val="005C16E5"/>
    <w:rsid w:val="006C2434"/>
    <w:rsid w:val="007C6245"/>
    <w:rsid w:val="007D5A6F"/>
    <w:rsid w:val="008C5307"/>
    <w:rsid w:val="009B557A"/>
    <w:rsid w:val="00A40DE5"/>
    <w:rsid w:val="00E720EE"/>
    <w:rsid w:val="00F8308C"/>
    <w:rsid w:val="00FB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24ED"/>
  <w15:chartTrackingRefBased/>
  <w15:docId w15:val="{5798C3EC-35CC-43E1-85C9-470A4CDE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38F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2063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6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4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30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08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4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40DE5"/>
  </w:style>
  <w:style w:type="character" w:customStyle="1" w:styleId="eop">
    <w:name w:val="eop"/>
    <w:basedOn w:val="DefaultParagraphFont"/>
    <w:rsid w:val="00A4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sex.ac.uk/staff/academic-standards-and-quality/new-courses" TargetMode="External"/><Relationship Id="rId5" Type="http://schemas.openxmlformats.org/officeDocument/2006/relationships/hyperlink" Target="https://www.essex.ac.uk/student/rules-of-assessment/roa-ug-principle-and-frame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Hannah L</dc:creator>
  <cp:keywords/>
  <dc:description/>
  <cp:lastModifiedBy>Ceri Law</cp:lastModifiedBy>
  <cp:revision>4</cp:revision>
  <dcterms:created xsi:type="dcterms:W3CDTF">2022-10-18T15:45:00Z</dcterms:created>
  <dcterms:modified xsi:type="dcterms:W3CDTF">2022-10-31T17:10:00Z</dcterms:modified>
</cp:coreProperties>
</file>