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A470" w14:textId="77777777" w:rsidR="00451D42" w:rsidRPr="00417371" w:rsidRDefault="00451D42" w:rsidP="00E6044E">
      <w:pPr>
        <w:pBdr>
          <w:bottom w:val="single" w:sz="4" w:space="1" w:color="auto"/>
        </w:pBdr>
        <w:tabs>
          <w:tab w:val="right" w:pos="9746"/>
        </w:tabs>
        <w:ind w:left="1418" w:right="-46" w:hanging="1418"/>
        <w:rPr>
          <w:rFonts w:ascii="Arial" w:hAnsi="Arial" w:cs="Arial"/>
          <w:b/>
          <w:color w:val="000000"/>
        </w:rPr>
      </w:pPr>
      <w:bookmarkStart w:id="0" w:name="_Toc49751473"/>
      <w:r w:rsidRPr="00417371">
        <w:rPr>
          <w:rFonts w:ascii="Arial" w:hAnsi="Arial" w:cs="Arial"/>
          <w:b/>
        </w:rPr>
        <w:t>Benchmarking against internal and external reference points</w:t>
      </w:r>
    </w:p>
    <w:bookmarkEnd w:id="0"/>
    <w:p w14:paraId="20852D63" w14:textId="77777777" w:rsidR="007E5F23" w:rsidRPr="00417371" w:rsidRDefault="007E5F23" w:rsidP="000F2C97">
      <w:pPr>
        <w:pStyle w:val="PlainText"/>
        <w:rPr>
          <w:rFonts w:ascii="Arial" w:hAnsi="Arial" w:cs="Arial"/>
          <w:color w:val="000000"/>
          <w:sz w:val="24"/>
          <w:szCs w:val="24"/>
        </w:rPr>
      </w:pPr>
    </w:p>
    <w:p w14:paraId="302AFA7E" w14:textId="77777777" w:rsidR="00DF2AA6" w:rsidRPr="00417371" w:rsidRDefault="00DF2AA6" w:rsidP="00451D42">
      <w:pPr>
        <w:pStyle w:val="ListParagraph"/>
        <w:numPr>
          <w:ilvl w:val="0"/>
          <w:numId w:val="42"/>
        </w:numPr>
        <w:spacing w:after="120"/>
        <w:ind w:left="426" w:hanging="426"/>
        <w:rPr>
          <w:rFonts w:ascii="Arial" w:hAnsi="Arial" w:cs="Arial"/>
          <w:b/>
        </w:rPr>
      </w:pPr>
      <w:r w:rsidRPr="00417371">
        <w:rPr>
          <w:rFonts w:ascii="Arial" w:hAnsi="Arial" w:cs="Arial"/>
          <w:b/>
        </w:rPr>
        <w:t>Introduction to internal and external reference points</w:t>
      </w:r>
    </w:p>
    <w:p w14:paraId="7BD89135" w14:textId="1B2BAF3C" w:rsidR="00DF2AA6" w:rsidRPr="00417371" w:rsidRDefault="00DF2AA6" w:rsidP="000F2C97">
      <w:pPr>
        <w:spacing w:after="120"/>
        <w:ind w:left="426"/>
        <w:rPr>
          <w:rFonts w:ascii="Arial" w:hAnsi="Arial" w:cs="Arial"/>
        </w:rPr>
      </w:pPr>
      <w:r w:rsidRPr="00417371">
        <w:rPr>
          <w:rFonts w:ascii="Arial" w:hAnsi="Arial" w:cs="Arial"/>
        </w:rPr>
        <w:t xml:space="preserve">Staff, </w:t>
      </w:r>
      <w:proofErr w:type="gramStart"/>
      <w:r w:rsidRPr="00417371">
        <w:rPr>
          <w:rFonts w:ascii="Arial" w:hAnsi="Arial" w:cs="Arial"/>
        </w:rPr>
        <w:t>panels</w:t>
      </w:r>
      <w:proofErr w:type="gramEnd"/>
      <w:r w:rsidRPr="00417371">
        <w:rPr>
          <w:rFonts w:ascii="Arial" w:hAnsi="Arial" w:cs="Arial"/>
        </w:rPr>
        <w:t xml:space="preserve"> and committees with responsibility for consideration, approval and review (annually or periodically) of courses and modules have to be satisfied that they align with both internal and external reference points. These reference points include the University’s strategic plans and external requirements set by</w:t>
      </w:r>
      <w:r w:rsidR="00E84399" w:rsidRPr="00417371">
        <w:rPr>
          <w:rFonts w:ascii="Arial" w:hAnsi="Arial" w:cs="Arial"/>
        </w:rPr>
        <w:t xml:space="preserve"> the </w:t>
      </w:r>
      <w:hyperlink r:id="rId8" w:history="1">
        <w:r w:rsidR="00E84399" w:rsidRPr="00417371">
          <w:rPr>
            <w:rStyle w:val="Hyperlink"/>
            <w:rFonts w:ascii="Arial" w:hAnsi="Arial" w:cs="Arial"/>
          </w:rPr>
          <w:t>Office for Students</w:t>
        </w:r>
      </w:hyperlink>
      <w:r w:rsidR="00AD4DE7" w:rsidRPr="00417371">
        <w:rPr>
          <w:rFonts w:ascii="Arial" w:hAnsi="Arial" w:cs="Arial"/>
        </w:rPr>
        <w:t xml:space="preserve"> (OfS)</w:t>
      </w:r>
      <w:r w:rsidR="00E84399" w:rsidRPr="00417371">
        <w:rPr>
          <w:rFonts w:ascii="Arial" w:hAnsi="Arial" w:cs="Arial"/>
        </w:rPr>
        <w:t xml:space="preserve"> as a regulator and</w:t>
      </w:r>
      <w:r w:rsidRPr="00417371">
        <w:rPr>
          <w:rFonts w:ascii="Arial" w:hAnsi="Arial" w:cs="Arial"/>
        </w:rPr>
        <w:t xml:space="preserve"> </w:t>
      </w:r>
      <w:r w:rsidR="00E84399" w:rsidRPr="00417371">
        <w:rPr>
          <w:rFonts w:ascii="Arial" w:hAnsi="Arial" w:cs="Arial"/>
        </w:rPr>
        <w:t xml:space="preserve">any </w:t>
      </w:r>
      <w:r w:rsidRPr="00417371">
        <w:rPr>
          <w:rFonts w:ascii="Arial" w:hAnsi="Arial" w:cs="Arial"/>
        </w:rPr>
        <w:t>accrediting bodies</w:t>
      </w:r>
      <w:r w:rsidR="00E84399" w:rsidRPr="00417371">
        <w:rPr>
          <w:rFonts w:ascii="Arial" w:hAnsi="Arial" w:cs="Arial"/>
        </w:rPr>
        <w:t xml:space="preserve"> for the provision,</w:t>
      </w:r>
      <w:r w:rsidRPr="00417371">
        <w:rPr>
          <w:rFonts w:ascii="Arial" w:hAnsi="Arial" w:cs="Arial"/>
        </w:rPr>
        <w:t xml:space="preserve"> or</w:t>
      </w:r>
      <w:r w:rsidR="00E84399" w:rsidRPr="00417371">
        <w:rPr>
          <w:rFonts w:ascii="Arial" w:hAnsi="Arial" w:cs="Arial"/>
        </w:rPr>
        <w:t xml:space="preserve"> guidance from bodies such as</w:t>
      </w:r>
      <w:r w:rsidRPr="00417371">
        <w:rPr>
          <w:rFonts w:ascii="Arial" w:hAnsi="Arial" w:cs="Arial"/>
        </w:rPr>
        <w:t xml:space="preserve"> the </w:t>
      </w:r>
      <w:hyperlink r:id="rId9" w:history="1">
        <w:r w:rsidRPr="00417371">
          <w:rPr>
            <w:rStyle w:val="Hyperlink"/>
            <w:rFonts w:ascii="Arial" w:hAnsi="Arial" w:cs="Arial"/>
          </w:rPr>
          <w:t>Quality Assurance Agency</w:t>
        </w:r>
        <w:r w:rsidR="00196D46" w:rsidRPr="00417371">
          <w:rPr>
            <w:rStyle w:val="Hyperlink"/>
            <w:rFonts w:ascii="Arial" w:hAnsi="Arial" w:cs="Arial"/>
          </w:rPr>
          <w:t xml:space="preserve"> (QAA)</w:t>
        </w:r>
      </w:hyperlink>
      <w:r w:rsidRPr="00417371">
        <w:rPr>
          <w:rFonts w:ascii="Arial" w:hAnsi="Arial" w:cs="Arial"/>
        </w:rPr>
        <w:t>.</w:t>
      </w:r>
    </w:p>
    <w:p w14:paraId="3E478B80" w14:textId="046C4BC6" w:rsidR="00DF2AA6" w:rsidRPr="00417371" w:rsidRDefault="00DF2AA6" w:rsidP="000F2C97">
      <w:pPr>
        <w:spacing w:after="120"/>
        <w:ind w:left="426"/>
        <w:rPr>
          <w:rFonts w:ascii="Arial" w:hAnsi="Arial" w:cs="Arial"/>
        </w:rPr>
      </w:pPr>
      <w:r w:rsidRPr="00417371">
        <w:rPr>
          <w:rFonts w:ascii="Arial" w:hAnsi="Arial" w:cs="Arial"/>
        </w:rPr>
        <w:t>In recommending a course to be approved for the first time, or to continue to be offered</w:t>
      </w:r>
      <w:r w:rsidR="001A16DC" w:rsidRPr="00417371">
        <w:rPr>
          <w:rFonts w:ascii="Arial" w:hAnsi="Arial" w:cs="Arial"/>
        </w:rPr>
        <w:t xml:space="preserve">, </w:t>
      </w:r>
      <w:r w:rsidRPr="00417371">
        <w:rPr>
          <w:rFonts w:ascii="Arial" w:hAnsi="Arial" w:cs="Arial"/>
        </w:rPr>
        <w:t xml:space="preserve">we </w:t>
      </w:r>
      <w:proofErr w:type="gramStart"/>
      <w:r w:rsidRPr="00417371">
        <w:rPr>
          <w:rFonts w:ascii="Arial" w:hAnsi="Arial" w:cs="Arial"/>
        </w:rPr>
        <w:t>have to</w:t>
      </w:r>
      <w:proofErr w:type="gramEnd"/>
      <w:r w:rsidRPr="00417371">
        <w:rPr>
          <w:rFonts w:ascii="Arial" w:hAnsi="Arial" w:cs="Arial"/>
        </w:rPr>
        <w:t xml:space="preserve"> be assured that we have confidence:</w:t>
      </w:r>
    </w:p>
    <w:p w14:paraId="59BF810B" w14:textId="77777777" w:rsidR="00DF2AA6" w:rsidRPr="00417371" w:rsidRDefault="00DF2AA6" w:rsidP="00A0499A">
      <w:pPr>
        <w:pStyle w:val="ListParagraph"/>
        <w:numPr>
          <w:ilvl w:val="0"/>
          <w:numId w:val="18"/>
        </w:numPr>
        <w:spacing w:after="60"/>
        <w:ind w:left="993" w:hanging="284"/>
        <w:rPr>
          <w:rFonts w:ascii="Arial" w:hAnsi="Arial" w:cs="Arial"/>
        </w:rPr>
      </w:pPr>
      <w:r w:rsidRPr="00417371">
        <w:rPr>
          <w:rFonts w:ascii="Arial" w:hAnsi="Arial" w:cs="Arial"/>
        </w:rPr>
        <w:t xml:space="preserve">in the continuing validity and relevance of the stated aims and intended learning outcomes of the courses, in accordance with relevant internal and external reference </w:t>
      </w:r>
      <w:proofErr w:type="gramStart"/>
      <w:r w:rsidRPr="00417371">
        <w:rPr>
          <w:rFonts w:ascii="Arial" w:hAnsi="Arial" w:cs="Arial"/>
        </w:rPr>
        <w:t>points</w:t>
      </w:r>
      <w:proofErr w:type="gramEnd"/>
    </w:p>
    <w:p w14:paraId="22C67125" w14:textId="0988A698" w:rsidR="00DF2AA6" w:rsidRPr="00417371" w:rsidRDefault="00DF2AA6" w:rsidP="000F2C97">
      <w:pPr>
        <w:pStyle w:val="ListParagraph"/>
        <w:numPr>
          <w:ilvl w:val="0"/>
          <w:numId w:val="18"/>
        </w:numPr>
        <w:spacing w:after="120"/>
        <w:ind w:left="993" w:hanging="284"/>
        <w:rPr>
          <w:rFonts w:ascii="Arial" w:hAnsi="Arial" w:cs="Arial"/>
        </w:rPr>
      </w:pPr>
      <w:r w:rsidRPr="00417371">
        <w:rPr>
          <w:rFonts w:ascii="Arial" w:hAnsi="Arial" w:cs="Arial"/>
        </w:rPr>
        <w:t xml:space="preserve">that the award(s) conferred by the University are of an equivalent standard to comparable awards throughout the UK, </w:t>
      </w:r>
      <w:r w:rsidR="00EA6E0E" w:rsidRPr="00417371">
        <w:rPr>
          <w:rFonts w:ascii="Arial" w:hAnsi="Arial" w:cs="Arial"/>
        </w:rPr>
        <w:t>and that UK threshold standards</w:t>
      </w:r>
      <w:r w:rsidR="009E701B" w:rsidRPr="00417371">
        <w:rPr>
          <w:rFonts w:ascii="Arial" w:hAnsi="Arial" w:cs="Arial"/>
        </w:rPr>
        <w:t xml:space="preserve"> </w:t>
      </w:r>
      <w:r w:rsidR="005E6D34" w:rsidRPr="00417371">
        <w:rPr>
          <w:rFonts w:ascii="Arial" w:hAnsi="Arial" w:cs="Arial"/>
        </w:rPr>
        <w:t xml:space="preserve">set reflect applicable sector-recognised </w:t>
      </w:r>
      <w:proofErr w:type="gramStart"/>
      <w:r w:rsidR="005E6D34" w:rsidRPr="00417371">
        <w:rPr>
          <w:rFonts w:ascii="Arial" w:hAnsi="Arial" w:cs="Arial"/>
        </w:rPr>
        <w:t>standards</w:t>
      </w:r>
      <w:proofErr w:type="gramEnd"/>
    </w:p>
    <w:p w14:paraId="31EF4C5E" w14:textId="77777777" w:rsidR="00DF2AA6" w:rsidRPr="00417371" w:rsidRDefault="00DF2AA6" w:rsidP="000F2C97">
      <w:pPr>
        <w:spacing w:after="120"/>
        <w:ind w:left="426"/>
        <w:rPr>
          <w:rFonts w:ascii="Arial" w:hAnsi="Arial" w:cs="Arial"/>
        </w:rPr>
      </w:pPr>
      <w:r w:rsidRPr="00417371">
        <w:rPr>
          <w:rFonts w:ascii="Arial" w:hAnsi="Arial" w:cs="Arial"/>
        </w:rPr>
        <w:t>The tables below set out the internal and external reference points which apply, how they are considered and their impact on course and module design and approval.</w:t>
      </w:r>
    </w:p>
    <w:p w14:paraId="44518744" w14:textId="5A6BC0FA" w:rsidR="00315480" w:rsidRPr="00417371" w:rsidRDefault="00AD4DE7" w:rsidP="00A0499A">
      <w:pPr>
        <w:spacing w:after="40"/>
        <w:ind w:left="425"/>
        <w:rPr>
          <w:rFonts w:ascii="Arial" w:hAnsi="Arial" w:cs="Arial"/>
          <w:b/>
        </w:rPr>
      </w:pPr>
      <w:r w:rsidRPr="00417371">
        <w:rPr>
          <w:rFonts w:ascii="Arial" w:hAnsi="Arial" w:cs="Arial"/>
          <w:b/>
        </w:rPr>
        <w:t xml:space="preserve">Sector-recognised </w:t>
      </w:r>
      <w:proofErr w:type="gramStart"/>
      <w:r w:rsidRPr="00417371">
        <w:rPr>
          <w:rFonts w:ascii="Arial" w:hAnsi="Arial" w:cs="Arial"/>
          <w:b/>
        </w:rPr>
        <w:t>standards</w:t>
      </w:r>
      <w:proofErr w:type="gramEnd"/>
    </w:p>
    <w:p w14:paraId="422A6FF1" w14:textId="77777777" w:rsidR="00662B6A" w:rsidRPr="00417371" w:rsidRDefault="00AD4DE7" w:rsidP="000F2C97">
      <w:pPr>
        <w:spacing w:after="120"/>
        <w:ind w:left="426"/>
        <w:rPr>
          <w:rFonts w:ascii="Arial" w:hAnsi="Arial" w:cs="Arial"/>
        </w:rPr>
      </w:pPr>
      <w:r w:rsidRPr="00417371">
        <w:rPr>
          <w:rFonts w:ascii="Arial" w:hAnsi="Arial" w:cs="Arial"/>
        </w:rPr>
        <w:t>OfS</w:t>
      </w:r>
      <w:r w:rsidR="00662B6A" w:rsidRPr="00417371">
        <w:rPr>
          <w:rFonts w:ascii="Arial" w:hAnsi="Arial" w:cs="Arial"/>
        </w:rPr>
        <w:t xml:space="preserve"> </w:t>
      </w:r>
      <w:hyperlink r:id="rId10" w:history="1">
        <w:r w:rsidR="00662B6A" w:rsidRPr="00417371">
          <w:rPr>
            <w:rStyle w:val="Hyperlink"/>
            <w:rFonts w:ascii="Arial" w:hAnsi="Arial" w:cs="Arial"/>
          </w:rPr>
          <w:t>conditions of registration</w:t>
        </w:r>
      </w:hyperlink>
      <w:r w:rsidR="00662B6A" w:rsidRPr="00417371">
        <w:rPr>
          <w:rFonts w:ascii="Arial" w:hAnsi="Arial" w:cs="Arial"/>
        </w:rPr>
        <w:t xml:space="preserve"> require that for all awards:</w:t>
      </w:r>
    </w:p>
    <w:p w14:paraId="59211C6E" w14:textId="2533779D" w:rsidR="00662B6A" w:rsidRPr="00417371" w:rsidRDefault="00662B6A" w:rsidP="00E34FD7">
      <w:pPr>
        <w:pStyle w:val="ListParagraph"/>
        <w:numPr>
          <w:ilvl w:val="0"/>
          <w:numId w:val="43"/>
        </w:numPr>
        <w:spacing w:after="120"/>
        <w:ind w:left="993" w:hanging="284"/>
        <w:rPr>
          <w:rFonts w:ascii="Arial" w:hAnsi="Arial" w:cs="Arial"/>
          <w:bCs/>
        </w:rPr>
      </w:pPr>
      <w:r w:rsidRPr="00417371">
        <w:rPr>
          <w:rFonts w:ascii="Arial" w:hAnsi="Arial" w:cs="Arial"/>
        </w:rPr>
        <w:t xml:space="preserve">any standards set appropriately reflect any applicable </w:t>
      </w:r>
      <w:hyperlink r:id="rId11" w:history="1">
        <w:r w:rsidRPr="00417371">
          <w:rPr>
            <w:rStyle w:val="Hyperlink"/>
            <w:rFonts w:ascii="Arial" w:hAnsi="Arial" w:cs="Arial"/>
          </w:rPr>
          <w:t>sector-recognised standards</w:t>
        </w:r>
      </w:hyperlink>
      <w:r w:rsidRPr="00417371">
        <w:rPr>
          <w:rFonts w:ascii="Arial" w:hAnsi="Arial" w:cs="Arial"/>
        </w:rPr>
        <w:t xml:space="preserve">; and </w:t>
      </w:r>
    </w:p>
    <w:p w14:paraId="06BF22BC" w14:textId="31239220" w:rsidR="00315480" w:rsidRPr="00417371" w:rsidRDefault="00662B6A" w:rsidP="00E34FD7">
      <w:pPr>
        <w:pStyle w:val="ListParagraph"/>
        <w:numPr>
          <w:ilvl w:val="0"/>
          <w:numId w:val="43"/>
        </w:numPr>
        <w:spacing w:after="120"/>
        <w:ind w:left="993" w:hanging="284"/>
        <w:rPr>
          <w:rFonts w:ascii="Arial" w:hAnsi="Arial" w:cs="Arial"/>
          <w:bCs/>
        </w:rPr>
      </w:pPr>
      <w:r w:rsidRPr="00417371">
        <w:rPr>
          <w:rFonts w:ascii="Arial" w:hAnsi="Arial" w:cs="Arial"/>
        </w:rPr>
        <w:t>awards are only granted to students whose knowledge and skills appropriately reflect any applicable sector-recognised standards.</w:t>
      </w:r>
    </w:p>
    <w:p w14:paraId="5A411FE7" w14:textId="77777777" w:rsidR="00137606" w:rsidRPr="00417371" w:rsidRDefault="00662B6A" w:rsidP="00662B6A">
      <w:pPr>
        <w:spacing w:after="120"/>
        <w:ind w:left="426"/>
        <w:rPr>
          <w:rFonts w:ascii="Arial" w:hAnsi="Arial" w:cs="Arial"/>
          <w:bCs/>
        </w:rPr>
      </w:pPr>
      <w:r w:rsidRPr="00417371">
        <w:rPr>
          <w:rFonts w:ascii="Arial" w:hAnsi="Arial" w:cs="Arial"/>
          <w:bCs/>
        </w:rPr>
        <w:t xml:space="preserve">The sector-recognised standards for qualifications in England are published by OfS, drawing on other sources, including typical higher education qualifications at each level and degree classification descriptions for bachelors’ degrees. </w:t>
      </w:r>
    </w:p>
    <w:p w14:paraId="4EF03810" w14:textId="4A92B097" w:rsidR="00F30145" w:rsidRPr="00417371" w:rsidRDefault="00ED47C3" w:rsidP="00FC04FC">
      <w:pPr>
        <w:spacing w:after="120"/>
        <w:ind w:left="426"/>
        <w:rPr>
          <w:rFonts w:ascii="Arial" w:hAnsi="Arial" w:cs="Arial"/>
          <w:bCs/>
        </w:rPr>
      </w:pPr>
      <w:r w:rsidRPr="00417371">
        <w:rPr>
          <w:rFonts w:ascii="Arial" w:hAnsi="Arial" w:cs="Arial"/>
          <w:bCs/>
        </w:rPr>
        <w:t xml:space="preserve">For </w:t>
      </w:r>
      <w:r w:rsidR="00114850" w:rsidRPr="00417371">
        <w:rPr>
          <w:rFonts w:ascii="Arial" w:hAnsi="Arial" w:cs="Arial"/>
          <w:bCs/>
        </w:rPr>
        <w:t>a</w:t>
      </w:r>
      <w:r w:rsidRPr="00417371">
        <w:rPr>
          <w:rFonts w:ascii="Arial" w:hAnsi="Arial" w:cs="Arial"/>
          <w:bCs/>
        </w:rPr>
        <w:t xml:space="preserve">pprenticeships, overall accountability for </w:t>
      </w:r>
      <w:r w:rsidR="00F30145" w:rsidRPr="00417371">
        <w:rPr>
          <w:rFonts w:ascii="Arial" w:hAnsi="Arial" w:cs="Arial"/>
          <w:bCs/>
        </w:rPr>
        <w:t xml:space="preserve">the </w:t>
      </w:r>
      <w:r w:rsidRPr="00417371">
        <w:rPr>
          <w:rFonts w:ascii="Arial" w:hAnsi="Arial" w:cs="Arial"/>
          <w:bCs/>
        </w:rPr>
        <w:t xml:space="preserve">quality, including the occupational standard and the end-point assessment sit with the Department for Education (DfE) acting through the Education and Skills Funding Agency (ESFA). The ESFA are accountable for funding education and skills for children, young </w:t>
      </w:r>
      <w:proofErr w:type="gramStart"/>
      <w:r w:rsidRPr="00417371">
        <w:rPr>
          <w:rFonts w:ascii="Arial" w:hAnsi="Arial" w:cs="Arial"/>
          <w:bCs/>
        </w:rPr>
        <w:t>people</w:t>
      </w:r>
      <w:proofErr w:type="gramEnd"/>
      <w:r w:rsidRPr="00417371">
        <w:rPr>
          <w:rFonts w:ascii="Arial" w:hAnsi="Arial" w:cs="Arial"/>
          <w:bCs/>
        </w:rPr>
        <w:t xml:space="preserve"> and adults.</w:t>
      </w:r>
      <w:r w:rsidR="00F92CB1" w:rsidRPr="00417371">
        <w:rPr>
          <w:rFonts w:ascii="Arial" w:hAnsi="Arial" w:cs="Arial"/>
          <w:bCs/>
        </w:rPr>
        <w:t xml:space="preserve"> </w:t>
      </w:r>
      <w:r w:rsidR="00F30145" w:rsidRPr="00417371">
        <w:rPr>
          <w:rFonts w:ascii="Arial" w:hAnsi="Arial" w:cs="Arial"/>
          <w:bCs/>
        </w:rPr>
        <w:t xml:space="preserve">Apprentices must complete an end-point assessment to demonstrate what </w:t>
      </w:r>
      <w:r w:rsidR="00117AE4" w:rsidRPr="00417371">
        <w:rPr>
          <w:rFonts w:ascii="Arial" w:hAnsi="Arial" w:cs="Arial"/>
          <w:bCs/>
        </w:rPr>
        <w:t>they have</w:t>
      </w:r>
      <w:r w:rsidR="00F30145" w:rsidRPr="00417371">
        <w:rPr>
          <w:rFonts w:ascii="Arial" w:hAnsi="Arial" w:cs="Arial"/>
          <w:bCs/>
        </w:rPr>
        <w:t xml:space="preserve"> learnt as part of their apprenticeship.</w:t>
      </w:r>
    </w:p>
    <w:p w14:paraId="52E1F9F9" w14:textId="45B2806C" w:rsidR="00F30145" w:rsidRPr="00417371" w:rsidRDefault="00F30145" w:rsidP="00FC04FC">
      <w:pPr>
        <w:spacing w:after="120"/>
        <w:ind w:left="426"/>
        <w:rPr>
          <w:rFonts w:ascii="Arial" w:hAnsi="Arial" w:cs="Arial"/>
          <w:bCs/>
        </w:rPr>
      </w:pPr>
      <w:r w:rsidRPr="00417371">
        <w:rPr>
          <w:rFonts w:ascii="Arial" w:hAnsi="Arial" w:cs="Arial"/>
          <w:bCs/>
        </w:rPr>
        <w:t xml:space="preserve">The OfS is responsible for the external quality assurance of OfS registered providers that deliver integrated higher and degree apprenticeships (and are therefore responsible for delivering the end-point assessment themselves rather than an independent end-point assessment organisation). </w:t>
      </w:r>
    </w:p>
    <w:p w14:paraId="1F39C4BC" w14:textId="3880F11D" w:rsidR="00F92CB1" w:rsidRPr="00417371" w:rsidRDefault="00F92CB1" w:rsidP="00FC04FC">
      <w:pPr>
        <w:spacing w:after="120"/>
        <w:ind w:left="426"/>
        <w:rPr>
          <w:rFonts w:ascii="Arial" w:hAnsi="Arial" w:cs="Arial"/>
          <w:bCs/>
        </w:rPr>
      </w:pPr>
      <w:r w:rsidRPr="00417371">
        <w:rPr>
          <w:rFonts w:ascii="Arial" w:hAnsi="Arial" w:cs="Arial"/>
          <w:bCs/>
        </w:rPr>
        <w:t xml:space="preserve">The Institute for Apprenticeships and Technical Education are responsible for the development, review, </w:t>
      </w:r>
      <w:proofErr w:type="gramStart"/>
      <w:r w:rsidRPr="00417371">
        <w:rPr>
          <w:rFonts w:ascii="Arial" w:hAnsi="Arial" w:cs="Arial"/>
          <w:bCs/>
        </w:rPr>
        <w:t>approval</w:t>
      </w:r>
      <w:proofErr w:type="gramEnd"/>
      <w:r w:rsidRPr="00417371">
        <w:rPr>
          <w:rFonts w:ascii="Arial" w:hAnsi="Arial" w:cs="Arial"/>
          <w:bCs/>
        </w:rPr>
        <w:t xml:space="preserve"> and publishing of </w:t>
      </w:r>
      <w:r w:rsidR="00114850" w:rsidRPr="00417371">
        <w:rPr>
          <w:rFonts w:ascii="Arial" w:hAnsi="Arial" w:cs="Arial"/>
          <w:bCs/>
        </w:rPr>
        <w:t>a</w:t>
      </w:r>
      <w:r w:rsidRPr="00417371">
        <w:rPr>
          <w:rFonts w:ascii="Arial" w:hAnsi="Arial" w:cs="Arial"/>
          <w:bCs/>
        </w:rPr>
        <w:t>pprenticeship standards</w:t>
      </w:r>
      <w:r w:rsidR="00F30145" w:rsidRPr="00417371">
        <w:rPr>
          <w:rFonts w:ascii="Arial" w:hAnsi="Arial" w:cs="Arial"/>
          <w:bCs/>
        </w:rPr>
        <w:t xml:space="preserve"> upon which </w:t>
      </w:r>
      <w:r w:rsidR="00114850" w:rsidRPr="00417371">
        <w:rPr>
          <w:rFonts w:ascii="Arial" w:hAnsi="Arial" w:cs="Arial"/>
          <w:bCs/>
        </w:rPr>
        <w:t>a</w:t>
      </w:r>
      <w:r w:rsidR="00F30145" w:rsidRPr="00417371">
        <w:rPr>
          <w:rFonts w:ascii="Arial" w:hAnsi="Arial" w:cs="Arial"/>
          <w:bCs/>
        </w:rPr>
        <w:t>pprenticeship programmes are based.</w:t>
      </w:r>
    </w:p>
    <w:p w14:paraId="3FCBA739" w14:textId="5E263893" w:rsidR="00ED47C3" w:rsidRPr="00417371" w:rsidRDefault="00F92CB1" w:rsidP="00FC04FC">
      <w:pPr>
        <w:spacing w:after="120"/>
        <w:ind w:left="426"/>
        <w:rPr>
          <w:rFonts w:ascii="Arial" w:hAnsi="Arial" w:cs="Arial"/>
        </w:rPr>
      </w:pPr>
      <w:r w:rsidRPr="00417371">
        <w:rPr>
          <w:rFonts w:ascii="Arial" w:hAnsi="Arial" w:cs="Arial"/>
        </w:rPr>
        <w:t>The Office for Standards in Education, Children’s Services and Skills (Ofsted)</w:t>
      </w:r>
      <w:r w:rsidR="00ED47C3" w:rsidRPr="00417371">
        <w:rPr>
          <w:rFonts w:ascii="Arial" w:hAnsi="Arial" w:cs="Arial"/>
        </w:rPr>
        <w:t xml:space="preserve"> inspect the quality of apprenticeship training that is delivered by providers to ensure it is high-quality and meets the needs of employers and apprentices.</w:t>
      </w:r>
      <w:r w:rsidRPr="00417371">
        <w:rPr>
          <w:rFonts w:ascii="Arial" w:hAnsi="Arial" w:cs="Arial"/>
        </w:rPr>
        <w:t xml:space="preserve"> </w:t>
      </w:r>
    </w:p>
    <w:p w14:paraId="006079C0" w14:textId="78AB7087" w:rsidR="00F30145" w:rsidRPr="00417371" w:rsidRDefault="00F30145" w:rsidP="00FC04FC">
      <w:pPr>
        <w:spacing w:after="120"/>
        <w:ind w:left="426"/>
        <w:rPr>
          <w:rFonts w:ascii="Arial" w:hAnsi="Arial" w:cs="Arial"/>
        </w:rPr>
      </w:pPr>
      <w:r w:rsidRPr="00417371">
        <w:rPr>
          <w:rFonts w:ascii="Arial" w:hAnsi="Arial" w:cs="Arial"/>
        </w:rPr>
        <w:t xml:space="preserve">The Office of Qualifications and Examinations Regulation (Ofqual) are responsible for the external quality assurance of </w:t>
      </w:r>
      <w:proofErr w:type="gramStart"/>
      <w:r w:rsidRPr="00417371">
        <w:rPr>
          <w:rFonts w:ascii="Arial" w:hAnsi="Arial" w:cs="Arial"/>
        </w:rPr>
        <w:t>the majority of</w:t>
      </w:r>
      <w:proofErr w:type="gramEnd"/>
      <w:r w:rsidRPr="00417371">
        <w:rPr>
          <w:rFonts w:ascii="Arial" w:hAnsi="Arial" w:cs="Arial"/>
        </w:rPr>
        <w:t xml:space="preserve"> non-integrated apprenticeships at Levels 2-7.</w:t>
      </w:r>
    </w:p>
    <w:p w14:paraId="3E1BB870" w14:textId="76F785D9" w:rsidR="00662B6A" w:rsidRPr="00417371" w:rsidRDefault="00662B6A" w:rsidP="00662B6A">
      <w:pPr>
        <w:spacing w:after="120"/>
        <w:ind w:left="426"/>
        <w:rPr>
          <w:rFonts w:ascii="Arial" w:hAnsi="Arial" w:cs="Arial"/>
          <w:bCs/>
        </w:rPr>
      </w:pPr>
      <w:r w:rsidRPr="00417371">
        <w:rPr>
          <w:rFonts w:ascii="Arial" w:hAnsi="Arial" w:cs="Arial"/>
          <w:bCs/>
        </w:rPr>
        <w:lastRenderedPageBreak/>
        <w:t>Other sources of information on sector-wide standards are included in the table below.</w:t>
      </w:r>
    </w:p>
    <w:p w14:paraId="1AA2CFCF" w14:textId="514F1163" w:rsidR="00A62664" w:rsidRPr="00417371" w:rsidRDefault="00A62664">
      <w:pPr>
        <w:rPr>
          <w:rFonts w:ascii="Arial" w:hAnsi="Arial" w:cs="Arial"/>
          <w:b/>
        </w:rPr>
      </w:pPr>
    </w:p>
    <w:p w14:paraId="6DA43067" w14:textId="37E9AD1C" w:rsidR="00DF2AA6" w:rsidRPr="00417371" w:rsidRDefault="00DF2AA6" w:rsidP="00451D42">
      <w:pPr>
        <w:pStyle w:val="ListParagraph"/>
        <w:numPr>
          <w:ilvl w:val="0"/>
          <w:numId w:val="42"/>
        </w:numPr>
        <w:spacing w:after="120"/>
        <w:ind w:left="426" w:hanging="426"/>
        <w:rPr>
          <w:rFonts w:ascii="Arial" w:hAnsi="Arial" w:cs="Arial"/>
          <w:b/>
        </w:rPr>
      </w:pPr>
      <w:r w:rsidRPr="00417371">
        <w:rPr>
          <w:rFonts w:ascii="Arial" w:hAnsi="Arial" w:cs="Arial"/>
          <w:b/>
        </w:rPr>
        <w:t>Internal reference points</w:t>
      </w:r>
    </w:p>
    <w:tbl>
      <w:tblPr>
        <w:tblStyle w:val="TableGrid"/>
        <w:tblW w:w="9894" w:type="dxa"/>
        <w:tblInd w:w="-5" w:type="dxa"/>
        <w:tblLook w:val="04A0" w:firstRow="1" w:lastRow="0" w:firstColumn="1" w:lastColumn="0" w:noHBand="0" w:noVBand="1"/>
      </w:tblPr>
      <w:tblGrid>
        <w:gridCol w:w="3544"/>
        <w:gridCol w:w="6350"/>
      </w:tblGrid>
      <w:tr w:rsidR="00DF2AA6" w:rsidRPr="00417371" w14:paraId="1176C2FF" w14:textId="77777777" w:rsidTr="00C542C9">
        <w:tc>
          <w:tcPr>
            <w:tcW w:w="3544" w:type="dxa"/>
          </w:tcPr>
          <w:p w14:paraId="4EE1E2C4" w14:textId="77777777" w:rsidR="00DF2AA6" w:rsidRPr="00417371" w:rsidRDefault="00DF2AA6" w:rsidP="000F2C97">
            <w:pPr>
              <w:spacing w:before="40" w:after="40"/>
              <w:rPr>
                <w:rFonts w:ascii="Arial" w:hAnsi="Arial" w:cs="Arial"/>
                <w:b/>
              </w:rPr>
            </w:pPr>
            <w:r w:rsidRPr="00417371">
              <w:rPr>
                <w:rFonts w:ascii="Arial" w:hAnsi="Arial" w:cs="Arial"/>
                <w:b/>
              </w:rPr>
              <w:t>Reference point</w:t>
            </w:r>
          </w:p>
        </w:tc>
        <w:tc>
          <w:tcPr>
            <w:tcW w:w="6350" w:type="dxa"/>
          </w:tcPr>
          <w:p w14:paraId="4AC56314" w14:textId="77777777" w:rsidR="00DF2AA6" w:rsidRPr="00417371" w:rsidRDefault="00DF2AA6" w:rsidP="000F2C97">
            <w:pPr>
              <w:spacing w:before="40" w:after="40"/>
              <w:rPr>
                <w:rFonts w:ascii="Arial" w:hAnsi="Arial" w:cs="Arial"/>
                <w:b/>
              </w:rPr>
            </w:pPr>
            <w:r w:rsidRPr="00417371">
              <w:rPr>
                <w:rFonts w:ascii="Arial" w:hAnsi="Arial" w:cs="Arial"/>
                <w:b/>
              </w:rPr>
              <w:t>Role and consideration of each reference point</w:t>
            </w:r>
          </w:p>
        </w:tc>
      </w:tr>
      <w:tr w:rsidR="00DF2AA6" w:rsidRPr="00417371" w14:paraId="203C56C9" w14:textId="77777777" w:rsidTr="00C542C9">
        <w:tc>
          <w:tcPr>
            <w:tcW w:w="3544" w:type="dxa"/>
          </w:tcPr>
          <w:p w14:paraId="1423641E" w14:textId="00A4E4FB" w:rsidR="00DF2AA6" w:rsidRPr="00417371" w:rsidRDefault="00000000" w:rsidP="00C542C9">
            <w:pPr>
              <w:pStyle w:val="ListParagraph"/>
              <w:numPr>
                <w:ilvl w:val="0"/>
                <w:numId w:val="44"/>
              </w:numPr>
              <w:spacing w:before="40" w:after="40"/>
              <w:rPr>
                <w:rFonts w:ascii="Arial" w:hAnsi="Arial" w:cs="Arial"/>
              </w:rPr>
            </w:pPr>
            <w:hyperlink r:id="rId12" w:history="1">
              <w:r w:rsidR="00DF2AA6" w:rsidRPr="00417371">
                <w:rPr>
                  <w:rStyle w:val="Hyperlink"/>
                  <w:rFonts w:ascii="Arial" w:hAnsi="Arial" w:cs="Arial"/>
                </w:rPr>
                <w:t xml:space="preserve">University </w:t>
              </w:r>
              <w:r w:rsidR="00662B6A" w:rsidRPr="00417371">
                <w:rPr>
                  <w:rStyle w:val="Hyperlink"/>
                  <w:rFonts w:ascii="Arial" w:hAnsi="Arial" w:cs="Arial"/>
                </w:rPr>
                <w:t>S</w:t>
              </w:r>
              <w:r w:rsidR="00DF2AA6" w:rsidRPr="00417371">
                <w:rPr>
                  <w:rStyle w:val="Hyperlink"/>
                  <w:rFonts w:ascii="Arial" w:hAnsi="Arial" w:cs="Arial"/>
                </w:rPr>
                <w:t>trategy</w:t>
              </w:r>
              <w:r w:rsidR="00662B6A" w:rsidRPr="00417371">
                <w:rPr>
                  <w:rStyle w:val="Hyperlink"/>
                  <w:rFonts w:ascii="Arial" w:hAnsi="Arial" w:cs="Arial"/>
                </w:rPr>
                <w:t>, 2019-2</w:t>
              </w:r>
              <w:r w:rsidR="00677D4E">
                <w:rPr>
                  <w:rStyle w:val="Hyperlink"/>
                  <w:rFonts w:ascii="Arial" w:hAnsi="Arial" w:cs="Arial"/>
                </w:rPr>
                <w:t>8</w:t>
              </w:r>
            </w:hyperlink>
          </w:p>
          <w:p w14:paraId="2CC47E35" w14:textId="4BFBD161" w:rsidR="00DF2AA6" w:rsidRPr="00417371" w:rsidRDefault="00000000" w:rsidP="00C542C9">
            <w:pPr>
              <w:pStyle w:val="ListParagraph"/>
              <w:numPr>
                <w:ilvl w:val="0"/>
                <w:numId w:val="44"/>
              </w:numPr>
              <w:spacing w:before="40" w:after="40"/>
              <w:rPr>
                <w:rFonts w:ascii="Arial" w:hAnsi="Arial" w:cs="Arial"/>
              </w:rPr>
            </w:pPr>
            <w:hyperlink r:id="rId13" w:history="1">
              <w:r w:rsidR="00DF2AA6" w:rsidRPr="00417371">
                <w:rPr>
                  <w:rStyle w:val="Hyperlink"/>
                  <w:rFonts w:ascii="Arial" w:hAnsi="Arial" w:cs="Arial"/>
                </w:rPr>
                <w:t>Education strategy</w:t>
              </w:r>
              <w:r w:rsidR="00662B6A" w:rsidRPr="00417371">
                <w:rPr>
                  <w:rStyle w:val="Hyperlink"/>
                  <w:rFonts w:ascii="Arial" w:hAnsi="Arial" w:cs="Arial"/>
                </w:rPr>
                <w:t>, 2019-2</w:t>
              </w:r>
              <w:r w:rsidR="00677D4E">
                <w:rPr>
                  <w:rStyle w:val="Hyperlink"/>
                  <w:rFonts w:ascii="Arial" w:hAnsi="Arial" w:cs="Arial"/>
                </w:rPr>
                <w:t>8</w:t>
              </w:r>
            </w:hyperlink>
          </w:p>
          <w:p w14:paraId="092A90A6" w14:textId="087EE0FF" w:rsidR="0009500C" w:rsidRPr="00417371" w:rsidRDefault="00000000" w:rsidP="00C542C9">
            <w:pPr>
              <w:pStyle w:val="ListParagraph"/>
              <w:numPr>
                <w:ilvl w:val="0"/>
                <w:numId w:val="44"/>
              </w:numPr>
              <w:spacing w:before="40" w:after="40"/>
              <w:rPr>
                <w:rFonts w:ascii="Arial" w:hAnsi="Arial" w:cs="Arial"/>
              </w:rPr>
            </w:pPr>
            <w:hyperlink r:id="rId14" w:history="1">
              <w:r w:rsidR="003D0D5B" w:rsidRPr="00417371">
                <w:rPr>
                  <w:rStyle w:val="Hyperlink"/>
                  <w:rFonts w:ascii="Arial" w:hAnsi="Arial" w:cs="Arial"/>
                </w:rPr>
                <w:t>Research strategy, 2019-2</w:t>
              </w:r>
              <w:r w:rsidR="00677D4E">
                <w:rPr>
                  <w:rStyle w:val="Hyperlink"/>
                  <w:rFonts w:ascii="Arial" w:hAnsi="Arial" w:cs="Arial"/>
                </w:rPr>
                <w:t>8</w:t>
              </w:r>
            </w:hyperlink>
          </w:p>
          <w:p w14:paraId="18A0B560" w14:textId="23C93EEF" w:rsidR="00DF2AA6" w:rsidRPr="00417371" w:rsidRDefault="00DF2AA6" w:rsidP="00C542C9">
            <w:pPr>
              <w:spacing w:before="40" w:after="40"/>
              <w:rPr>
                <w:rFonts w:ascii="Arial" w:hAnsi="Arial" w:cs="Arial"/>
              </w:rPr>
            </w:pPr>
          </w:p>
        </w:tc>
        <w:tc>
          <w:tcPr>
            <w:tcW w:w="6350" w:type="dxa"/>
          </w:tcPr>
          <w:p w14:paraId="685AEFDA" w14:textId="598A55BD" w:rsidR="00DF2AA6" w:rsidRPr="00417371" w:rsidRDefault="001746E5" w:rsidP="00C542C9">
            <w:pPr>
              <w:spacing w:before="40" w:after="40"/>
              <w:rPr>
                <w:rFonts w:ascii="Arial" w:hAnsi="Arial" w:cs="Arial"/>
              </w:rPr>
            </w:pPr>
            <w:r w:rsidRPr="00417371">
              <w:rPr>
                <w:rFonts w:ascii="Arial" w:hAnsi="Arial" w:cs="Arial"/>
              </w:rPr>
              <w:t>These p</w:t>
            </w:r>
            <w:r w:rsidR="00DF2AA6" w:rsidRPr="00417371">
              <w:rPr>
                <w:rFonts w:ascii="Arial" w:hAnsi="Arial" w:cs="Arial"/>
              </w:rPr>
              <w:t>rovide direction</w:t>
            </w:r>
            <w:r w:rsidRPr="00417371">
              <w:rPr>
                <w:rFonts w:ascii="Arial" w:hAnsi="Arial" w:cs="Arial"/>
              </w:rPr>
              <w:t xml:space="preserve"> and</w:t>
            </w:r>
            <w:r w:rsidR="00DF2AA6" w:rsidRPr="00417371">
              <w:rPr>
                <w:rFonts w:ascii="Arial" w:hAnsi="Arial" w:cs="Arial"/>
              </w:rPr>
              <w:t xml:space="preserve"> support education</w:t>
            </w:r>
            <w:r w:rsidR="003D0D5B" w:rsidRPr="00417371">
              <w:rPr>
                <w:rFonts w:ascii="Arial" w:hAnsi="Arial" w:cs="Arial"/>
              </w:rPr>
              <w:t xml:space="preserve"> and</w:t>
            </w:r>
            <w:r w:rsidR="00DF2AA6" w:rsidRPr="00417371">
              <w:rPr>
                <w:rFonts w:ascii="Arial" w:hAnsi="Arial" w:cs="Arial"/>
              </w:rPr>
              <w:t xml:space="preserve"> research</w:t>
            </w:r>
            <w:r w:rsidR="003D0D5B" w:rsidRPr="00417371">
              <w:rPr>
                <w:rFonts w:ascii="Arial" w:hAnsi="Arial" w:cs="Arial"/>
              </w:rPr>
              <w:t xml:space="preserve"> </w:t>
            </w:r>
            <w:r w:rsidR="00DF2AA6" w:rsidRPr="00417371">
              <w:rPr>
                <w:rFonts w:ascii="Arial" w:hAnsi="Arial" w:cs="Arial"/>
              </w:rPr>
              <w:t>objectives.</w:t>
            </w:r>
            <w:r w:rsidR="003D0D5B" w:rsidRPr="00417371">
              <w:rPr>
                <w:rFonts w:ascii="Arial" w:hAnsi="Arial" w:cs="Arial"/>
              </w:rPr>
              <w:t xml:space="preserve"> </w:t>
            </w:r>
            <w:r w:rsidRPr="00417371">
              <w:rPr>
                <w:rFonts w:ascii="Arial" w:hAnsi="Arial" w:cs="Arial"/>
              </w:rPr>
              <w:t>They g</w:t>
            </w:r>
            <w:r w:rsidR="003D0D5B" w:rsidRPr="00417371">
              <w:rPr>
                <w:rFonts w:ascii="Arial" w:hAnsi="Arial" w:cs="Arial"/>
              </w:rPr>
              <w:t>uide the key performance indicators (KPIs) set by the University for its targets.</w:t>
            </w:r>
          </w:p>
          <w:p w14:paraId="03B05F15" w14:textId="322D5F67" w:rsidR="00DF2AA6" w:rsidRPr="00417371" w:rsidRDefault="001746E5" w:rsidP="00C542C9">
            <w:pPr>
              <w:spacing w:before="40" w:after="40"/>
              <w:rPr>
                <w:rFonts w:ascii="Arial" w:hAnsi="Arial" w:cs="Arial"/>
              </w:rPr>
            </w:pPr>
            <w:r w:rsidRPr="00417371">
              <w:rPr>
                <w:rFonts w:ascii="Arial" w:hAnsi="Arial" w:cs="Arial"/>
              </w:rPr>
              <w:t xml:space="preserve">They should be </w:t>
            </w:r>
            <w:proofErr w:type="gramStart"/>
            <w:r w:rsidRPr="00417371">
              <w:rPr>
                <w:rFonts w:ascii="Arial" w:hAnsi="Arial" w:cs="Arial"/>
              </w:rPr>
              <w:t>t</w:t>
            </w:r>
            <w:r w:rsidR="00DF2AA6" w:rsidRPr="00417371">
              <w:rPr>
                <w:rFonts w:ascii="Arial" w:hAnsi="Arial" w:cs="Arial"/>
              </w:rPr>
              <w:t>aken into account</w:t>
            </w:r>
            <w:proofErr w:type="gramEnd"/>
            <w:r w:rsidR="00DF2AA6" w:rsidRPr="00417371">
              <w:rPr>
                <w:rFonts w:ascii="Arial" w:hAnsi="Arial" w:cs="Arial"/>
              </w:rPr>
              <w:t xml:space="preserve"> in curriculum design</w:t>
            </w:r>
            <w:r w:rsidR="003D0D5B" w:rsidRPr="00417371">
              <w:rPr>
                <w:rFonts w:ascii="Arial" w:hAnsi="Arial" w:cs="Arial"/>
              </w:rPr>
              <w:t xml:space="preserve">, including </w:t>
            </w:r>
            <w:r w:rsidRPr="00417371">
              <w:rPr>
                <w:rFonts w:ascii="Arial" w:hAnsi="Arial" w:cs="Arial"/>
              </w:rPr>
              <w:t>in</w:t>
            </w:r>
            <w:r w:rsidR="003D0D5B" w:rsidRPr="00417371">
              <w:rPr>
                <w:rFonts w:ascii="Arial" w:hAnsi="Arial" w:cs="Arial"/>
              </w:rPr>
              <w:t xml:space="preserve"> </w:t>
            </w:r>
            <w:r w:rsidR="00DF2AA6" w:rsidRPr="00417371">
              <w:rPr>
                <w:rFonts w:ascii="Arial" w:hAnsi="Arial" w:cs="Arial"/>
              </w:rPr>
              <w:t>new</w:t>
            </w:r>
            <w:r w:rsidRPr="00417371">
              <w:rPr>
                <w:rFonts w:ascii="Arial" w:hAnsi="Arial" w:cs="Arial"/>
              </w:rPr>
              <w:t xml:space="preserve"> or </w:t>
            </w:r>
            <w:r w:rsidR="00DF2AA6" w:rsidRPr="00417371">
              <w:rPr>
                <w:rFonts w:ascii="Arial" w:hAnsi="Arial" w:cs="Arial"/>
              </w:rPr>
              <w:t>amended courses</w:t>
            </w:r>
            <w:r w:rsidRPr="00417371">
              <w:rPr>
                <w:rFonts w:ascii="Arial" w:hAnsi="Arial" w:cs="Arial"/>
              </w:rPr>
              <w:t xml:space="preserve"> and </w:t>
            </w:r>
            <w:r w:rsidR="00DF2AA6" w:rsidRPr="00417371">
              <w:rPr>
                <w:rFonts w:ascii="Arial" w:hAnsi="Arial" w:cs="Arial"/>
              </w:rPr>
              <w:t>modules; teaching, learning and assessment strategies</w:t>
            </w:r>
            <w:r w:rsidRPr="00417371">
              <w:rPr>
                <w:rFonts w:ascii="Arial" w:hAnsi="Arial" w:cs="Arial"/>
              </w:rPr>
              <w:t>;</w:t>
            </w:r>
            <w:r w:rsidR="003D0D5B" w:rsidRPr="00417371">
              <w:rPr>
                <w:rFonts w:ascii="Arial" w:hAnsi="Arial" w:cs="Arial"/>
              </w:rPr>
              <w:t xml:space="preserve"> and programmes of work such as</w:t>
            </w:r>
            <w:r w:rsidR="00DF2AA6" w:rsidRPr="00417371">
              <w:rPr>
                <w:rFonts w:ascii="Arial" w:hAnsi="Arial" w:cs="Arial"/>
              </w:rPr>
              <w:t xml:space="preserve"> Curriculum Reviews.</w:t>
            </w:r>
          </w:p>
        </w:tc>
      </w:tr>
      <w:tr w:rsidR="00DF2AA6" w:rsidRPr="00417371" w14:paraId="6366E1BB" w14:textId="77777777" w:rsidTr="00C542C9">
        <w:tc>
          <w:tcPr>
            <w:tcW w:w="3544" w:type="dxa"/>
          </w:tcPr>
          <w:p w14:paraId="45DA32AA" w14:textId="14EB97DF" w:rsidR="00DF2AA6" w:rsidRPr="00417371" w:rsidRDefault="00DF2AA6" w:rsidP="000F2C97">
            <w:pPr>
              <w:pStyle w:val="ListParagraph"/>
              <w:numPr>
                <w:ilvl w:val="0"/>
                <w:numId w:val="16"/>
              </w:numPr>
              <w:spacing w:before="40" w:after="40"/>
              <w:ind w:left="284" w:hanging="284"/>
              <w:rPr>
                <w:rFonts w:ascii="Arial" w:hAnsi="Arial" w:cs="Arial"/>
              </w:rPr>
            </w:pPr>
            <w:r w:rsidRPr="00417371">
              <w:rPr>
                <w:rFonts w:ascii="Arial" w:hAnsi="Arial" w:cs="Arial"/>
              </w:rPr>
              <w:t xml:space="preserve">Strategic Planning Information, including the </w:t>
            </w:r>
            <w:hyperlink r:id="rId15" w:history="1">
              <w:r w:rsidRPr="00417371">
                <w:rPr>
                  <w:rStyle w:val="Hyperlink"/>
                  <w:rFonts w:ascii="Arial" w:hAnsi="Arial" w:cs="Arial"/>
                </w:rPr>
                <w:t>Planning Information Portal</w:t>
              </w:r>
            </w:hyperlink>
            <w:r w:rsidR="001746E5" w:rsidRPr="00417371">
              <w:rPr>
                <w:rFonts w:ascii="Arial" w:hAnsi="Arial" w:cs="Arial"/>
              </w:rPr>
              <w:t xml:space="preserve">, ARC data packs and other KPI and planning reports on </w:t>
            </w:r>
            <w:hyperlink r:id="rId16" w:anchor="/projects/25" w:history="1">
              <w:r w:rsidR="001746E5" w:rsidRPr="00417371">
                <w:rPr>
                  <w:rStyle w:val="Hyperlink"/>
                  <w:rFonts w:ascii="Arial" w:hAnsi="Arial" w:cs="Arial"/>
                </w:rPr>
                <w:t>Tableau</w:t>
              </w:r>
            </w:hyperlink>
            <w:r w:rsidR="001746E5" w:rsidRPr="00417371">
              <w:rPr>
                <w:rFonts w:ascii="Arial" w:hAnsi="Arial" w:cs="Arial"/>
              </w:rPr>
              <w:t xml:space="preserve"> (access for internal staff only)</w:t>
            </w:r>
          </w:p>
        </w:tc>
        <w:tc>
          <w:tcPr>
            <w:tcW w:w="6350" w:type="dxa"/>
          </w:tcPr>
          <w:p w14:paraId="5ED66ED6" w14:textId="662BAA59" w:rsidR="00DF2AA6" w:rsidRPr="00417371" w:rsidRDefault="00DF2AA6" w:rsidP="00C542C9">
            <w:pPr>
              <w:spacing w:before="40" w:after="40"/>
              <w:rPr>
                <w:rFonts w:ascii="Arial" w:hAnsi="Arial" w:cs="Arial"/>
              </w:rPr>
            </w:pPr>
            <w:r w:rsidRPr="00417371">
              <w:rPr>
                <w:rFonts w:ascii="Arial" w:hAnsi="Arial" w:cs="Arial"/>
              </w:rPr>
              <w:t>Data to support departmental planning processes and Annual Review of Courses</w:t>
            </w:r>
            <w:r w:rsidR="001746E5" w:rsidRPr="00417371">
              <w:rPr>
                <w:rFonts w:ascii="Arial" w:hAnsi="Arial" w:cs="Arial"/>
              </w:rPr>
              <w:t>. These should be used to review educational provision and in the planning of new provision and initiatives</w:t>
            </w:r>
            <w:r w:rsidR="00117AE4" w:rsidRPr="00417371">
              <w:rPr>
                <w:rFonts w:ascii="Arial" w:hAnsi="Arial" w:cs="Arial"/>
              </w:rPr>
              <w:t xml:space="preserve">. </w:t>
            </w:r>
            <w:r w:rsidRPr="00417371">
              <w:rPr>
                <w:rFonts w:ascii="Arial" w:hAnsi="Arial" w:cs="Arial"/>
              </w:rPr>
              <w:t xml:space="preserve"> </w:t>
            </w:r>
          </w:p>
        </w:tc>
      </w:tr>
      <w:tr w:rsidR="00DF2AA6" w:rsidRPr="00417371" w14:paraId="17D3ABFE" w14:textId="77777777" w:rsidTr="00C542C9">
        <w:tc>
          <w:tcPr>
            <w:tcW w:w="3544" w:type="dxa"/>
          </w:tcPr>
          <w:p w14:paraId="7CEEA28A" w14:textId="102881DF" w:rsidR="00DF2AA6" w:rsidRPr="00417371" w:rsidRDefault="00000000" w:rsidP="000F2C97">
            <w:pPr>
              <w:pStyle w:val="ListParagraph"/>
              <w:numPr>
                <w:ilvl w:val="0"/>
                <w:numId w:val="15"/>
              </w:numPr>
              <w:spacing w:before="40" w:after="40"/>
              <w:ind w:left="284" w:hanging="284"/>
              <w:rPr>
                <w:rFonts w:ascii="Arial" w:hAnsi="Arial" w:cs="Arial"/>
              </w:rPr>
            </w:pPr>
            <w:hyperlink r:id="rId17" w:history="1">
              <w:r w:rsidR="00DF2AA6" w:rsidRPr="00417371">
                <w:rPr>
                  <w:rStyle w:val="Hyperlink"/>
                  <w:rFonts w:ascii="Arial" w:hAnsi="Arial" w:cs="Arial"/>
                </w:rPr>
                <w:t>University Calendar</w:t>
              </w:r>
            </w:hyperlink>
          </w:p>
        </w:tc>
        <w:tc>
          <w:tcPr>
            <w:tcW w:w="6350" w:type="dxa"/>
          </w:tcPr>
          <w:p w14:paraId="69DE7FA4" w14:textId="77777777" w:rsidR="00DF2AA6" w:rsidRPr="00417371" w:rsidRDefault="00DF2AA6" w:rsidP="00C542C9">
            <w:pPr>
              <w:spacing w:before="40" w:after="40"/>
              <w:rPr>
                <w:rFonts w:ascii="Arial" w:hAnsi="Arial" w:cs="Arial"/>
              </w:rPr>
            </w:pPr>
            <w:r w:rsidRPr="00417371">
              <w:rPr>
                <w:rFonts w:ascii="Arial" w:hAnsi="Arial" w:cs="Arial"/>
              </w:rPr>
              <w:t xml:space="preserve">Lists all </w:t>
            </w:r>
            <w:r w:rsidR="00E46B83" w:rsidRPr="00417371">
              <w:rPr>
                <w:rFonts w:ascii="Arial" w:hAnsi="Arial" w:cs="Arial"/>
              </w:rPr>
              <w:t>approved and validated courses, including</w:t>
            </w:r>
            <w:r w:rsidRPr="00417371">
              <w:rPr>
                <w:rFonts w:ascii="Arial" w:hAnsi="Arial" w:cs="Arial"/>
              </w:rPr>
              <w:t xml:space="preserve"> full details of </w:t>
            </w:r>
            <w:proofErr w:type="gramStart"/>
            <w:r w:rsidRPr="00417371">
              <w:rPr>
                <w:rFonts w:ascii="Arial" w:hAnsi="Arial" w:cs="Arial"/>
              </w:rPr>
              <w:t>University</w:t>
            </w:r>
            <w:proofErr w:type="gramEnd"/>
            <w:r w:rsidRPr="00417371">
              <w:rPr>
                <w:rFonts w:ascii="Arial" w:hAnsi="Arial" w:cs="Arial"/>
              </w:rPr>
              <w:t xml:space="preserve"> structures and regulations.</w:t>
            </w:r>
          </w:p>
        </w:tc>
      </w:tr>
      <w:tr w:rsidR="00DF2AA6" w:rsidRPr="00417371" w14:paraId="053DDAD9" w14:textId="77777777" w:rsidTr="00C542C9">
        <w:tc>
          <w:tcPr>
            <w:tcW w:w="3544" w:type="dxa"/>
          </w:tcPr>
          <w:p w14:paraId="2E79FAF4" w14:textId="60B3D6D3" w:rsidR="00DF2AA6" w:rsidRPr="00417371" w:rsidRDefault="00000000" w:rsidP="000F2C97">
            <w:pPr>
              <w:pStyle w:val="ListParagraph"/>
              <w:numPr>
                <w:ilvl w:val="0"/>
                <w:numId w:val="15"/>
              </w:numPr>
              <w:spacing w:before="40" w:after="40"/>
              <w:ind w:left="284" w:hanging="284"/>
              <w:rPr>
                <w:rFonts w:ascii="Arial" w:hAnsi="Arial" w:cs="Arial"/>
              </w:rPr>
            </w:pPr>
            <w:hyperlink r:id="rId18" w:history="1">
              <w:r w:rsidR="00DF2AA6" w:rsidRPr="00417371">
                <w:rPr>
                  <w:rStyle w:val="Hyperlink"/>
                  <w:rFonts w:ascii="Arial" w:hAnsi="Arial" w:cs="Arial"/>
                </w:rPr>
                <w:t>University Quality Framework</w:t>
              </w:r>
            </w:hyperlink>
          </w:p>
        </w:tc>
        <w:tc>
          <w:tcPr>
            <w:tcW w:w="6350" w:type="dxa"/>
          </w:tcPr>
          <w:p w14:paraId="6006F04E" w14:textId="70297EB5" w:rsidR="00DF2AA6" w:rsidRPr="00417371" w:rsidRDefault="00DF2AA6" w:rsidP="00C542C9">
            <w:pPr>
              <w:spacing w:before="40" w:after="40"/>
              <w:rPr>
                <w:rFonts w:ascii="Arial" w:hAnsi="Arial" w:cs="Arial"/>
              </w:rPr>
            </w:pPr>
            <w:r w:rsidRPr="00417371">
              <w:rPr>
                <w:rFonts w:ascii="Arial" w:hAnsi="Arial" w:cs="Arial"/>
              </w:rPr>
              <w:t>Policies and regulations for managing academic standards.</w:t>
            </w:r>
            <w:r w:rsidR="00B757C3" w:rsidRPr="00417371">
              <w:rPr>
                <w:rFonts w:ascii="Arial" w:hAnsi="Arial" w:cs="Arial"/>
              </w:rPr>
              <w:t xml:space="preserve"> </w:t>
            </w:r>
            <w:r w:rsidRPr="00417371">
              <w:rPr>
                <w:rFonts w:ascii="Arial" w:hAnsi="Arial" w:cs="Arial"/>
              </w:rPr>
              <w:t>Framed around five elements: Course/module approval; Annual Review of Courses; Periodic Review; External Examiners; Student</w:t>
            </w:r>
            <w:r w:rsidR="00B757C3" w:rsidRPr="00417371">
              <w:rPr>
                <w:rFonts w:ascii="Arial" w:hAnsi="Arial" w:cs="Arial"/>
              </w:rPr>
              <w:t xml:space="preserve"> Representation and</w:t>
            </w:r>
            <w:r w:rsidRPr="00417371">
              <w:rPr>
                <w:rFonts w:ascii="Arial" w:hAnsi="Arial" w:cs="Arial"/>
              </w:rPr>
              <w:t xml:space="preserve"> feedback</w:t>
            </w:r>
            <w:r w:rsidR="00B757C3" w:rsidRPr="00417371">
              <w:rPr>
                <w:rFonts w:ascii="Arial" w:hAnsi="Arial" w:cs="Arial"/>
              </w:rPr>
              <w:t xml:space="preserve">. </w:t>
            </w:r>
          </w:p>
        </w:tc>
      </w:tr>
      <w:tr w:rsidR="00DF2AA6" w:rsidRPr="00417371" w14:paraId="79CF3293" w14:textId="77777777" w:rsidTr="00C542C9">
        <w:tc>
          <w:tcPr>
            <w:tcW w:w="3544" w:type="dxa"/>
          </w:tcPr>
          <w:p w14:paraId="310169A2" w14:textId="02EEDE2B" w:rsidR="00DF2AA6" w:rsidRPr="00417371" w:rsidRDefault="00000000" w:rsidP="000F2C97">
            <w:pPr>
              <w:pStyle w:val="ListParagraph"/>
              <w:numPr>
                <w:ilvl w:val="0"/>
                <w:numId w:val="15"/>
              </w:numPr>
              <w:spacing w:before="40" w:after="40"/>
              <w:ind w:left="284" w:hanging="284"/>
              <w:rPr>
                <w:rFonts w:ascii="Arial" w:hAnsi="Arial" w:cs="Arial"/>
              </w:rPr>
            </w:pPr>
            <w:hyperlink r:id="rId19" w:history="1">
              <w:r w:rsidR="00DF2AA6" w:rsidRPr="00417371">
                <w:rPr>
                  <w:rStyle w:val="Hyperlink"/>
                  <w:rFonts w:ascii="Arial" w:hAnsi="Arial" w:cs="Arial"/>
                </w:rPr>
                <w:t>University Regulations</w:t>
              </w:r>
            </w:hyperlink>
          </w:p>
          <w:p w14:paraId="1BB03552" w14:textId="62736A5A" w:rsidR="00DF2AA6" w:rsidRPr="00417371" w:rsidRDefault="00000000" w:rsidP="001A16DC">
            <w:pPr>
              <w:pStyle w:val="ListParagraph"/>
              <w:numPr>
                <w:ilvl w:val="0"/>
                <w:numId w:val="15"/>
              </w:numPr>
              <w:spacing w:before="40" w:after="40"/>
              <w:ind w:left="284" w:hanging="284"/>
              <w:rPr>
                <w:rFonts w:ascii="Arial" w:hAnsi="Arial" w:cs="Arial"/>
              </w:rPr>
            </w:pPr>
            <w:hyperlink r:id="rId20" w:history="1">
              <w:r w:rsidR="00B757C3" w:rsidRPr="00417371">
                <w:rPr>
                  <w:rStyle w:val="Hyperlink"/>
                  <w:rFonts w:ascii="Arial" w:hAnsi="Arial" w:cs="Arial"/>
                </w:rPr>
                <w:t>Rules of Assessment</w:t>
              </w:r>
            </w:hyperlink>
            <w:r w:rsidR="00B757C3" w:rsidRPr="00417371">
              <w:rPr>
                <w:rFonts w:ascii="Arial" w:hAnsi="Arial" w:cs="Arial"/>
              </w:rPr>
              <w:t xml:space="preserve"> and the University of Essex </w:t>
            </w:r>
            <w:hyperlink r:id="rId21" w:history="1">
              <w:r w:rsidR="00B757C3" w:rsidRPr="00417371">
                <w:rPr>
                  <w:rStyle w:val="Hyperlink"/>
                  <w:rFonts w:ascii="Arial" w:hAnsi="Arial" w:cs="Arial"/>
                </w:rPr>
                <w:t>assessment and marking policies</w:t>
              </w:r>
            </w:hyperlink>
          </w:p>
        </w:tc>
        <w:tc>
          <w:tcPr>
            <w:tcW w:w="6350" w:type="dxa"/>
          </w:tcPr>
          <w:p w14:paraId="76A6D891" w14:textId="1A77818B" w:rsidR="00DF2AA6" w:rsidRPr="00417371" w:rsidRDefault="00B757C3" w:rsidP="00C542C9">
            <w:pPr>
              <w:rPr>
                <w:rFonts w:ascii="Arial" w:hAnsi="Arial" w:cs="Arial"/>
              </w:rPr>
            </w:pPr>
            <w:r w:rsidRPr="00417371">
              <w:rPr>
                <w:rFonts w:ascii="Arial" w:hAnsi="Arial" w:cs="Arial"/>
              </w:rPr>
              <w:t xml:space="preserve">These are key reference points for decisions on student achievement and award (e.g. Exam Boards). They align with external frameworks below, to ensure our courses are comparable with national expectations and are delivered consistently. They are </w:t>
            </w:r>
            <w:proofErr w:type="gramStart"/>
            <w:r w:rsidRPr="00417371">
              <w:rPr>
                <w:rFonts w:ascii="Arial" w:hAnsi="Arial" w:cs="Arial"/>
              </w:rPr>
              <w:t>t</w:t>
            </w:r>
            <w:r w:rsidR="00DF2AA6" w:rsidRPr="00417371">
              <w:rPr>
                <w:rFonts w:ascii="Arial" w:hAnsi="Arial" w:cs="Arial"/>
              </w:rPr>
              <w:t>aken into account</w:t>
            </w:r>
            <w:proofErr w:type="gramEnd"/>
            <w:r w:rsidR="00DF2AA6" w:rsidRPr="00417371">
              <w:rPr>
                <w:rFonts w:ascii="Arial" w:hAnsi="Arial" w:cs="Arial"/>
              </w:rPr>
              <w:t xml:space="preserve"> in curriculum design and delivery</w:t>
            </w:r>
            <w:r w:rsidRPr="00417371">
              <w:rPr>
                <w:rFonts w:ascii="Arial" w:hAnsi="Arial" w:cs="Arial"/>
              </w:rPr>
              <w:t>.</w:t>
            </w:r>
          </w:p>
        </w:tc>
      </w:tr>
      <w:tr w:rsidR="00DF2AA6" w:rsidRPr="00417371" w14:paraId="73840AF1" w14:textId="77777777" w:rsidTr="00C542C9">
        <w:tc>
          <w:tcPr>
            <w:tcW w:w="3544" w:type="dxa"/>
          </w:tcPr>
          <w:p w14:paraId="1CD43401" w14:textId="1241CA47" w:rsidR="00DF2AA6" w:rsidRPr="00417371" w:rsidRDefault="00000000" w:rsidP="000F2C97">
            <w:pPr>
              <w:pStyle w:val="ListParagraph"/>
              <w:numPr>
                <w:ilvl w:val="0"/>
                <w:numId w:val="15"/>
              </w:numPr>
              <w:spacing w:before="40" w:after="40"/>
              <w:ind w:left="284" w:hanging="284"/>
              <w:rPr>
                <w:rFonts w:ascii="Arial" w:hAnsi="Arial" w:cs="Arial"/>
              </w:rPr>
            </w:pPr>
            <w:hyperlink r:id="rId22" w:history="1">
              <w:r w:rsidR="00DF2AA6" w:rsidRPr="00417371">
                <w:rPr>
                  <w:rStyle w:val="Hyperlink"/>
                  <w:rFonts w:ascii="Arial" w:hAnsi="Arial" w:cs="Arial"/>
                </w:rPr>
                <w:t>Summary of Academic Policy Decisions</w:t>
              </w:r>
            </w:hyperlink>
          </w:p>
        </w:tc>
        <w:tc>
          <w:tcPr>
            <w:tcW w:w="6350" w:type="dxa"/>
          </w:tcPr>
          <w:p w14:paraId="13DBD4EC" w14:textId="75B15E86" w:rsidR="00DF2AA6" w:rsidRPr="00417371" w:rsidRDefault="00DF2AA6" w:rsidP="00C542C9">
            <w:pPr>
              <w:spacing w:before="40" w:after="40"/>
              <w:rPr>
                <w:rFonts w:ascii="Arial" w:hAnsi="Arial" w:cs="Arial"/>
              </w:rPr>
            </w:pPr>
            <w:r w:rsidRPr="00417371">
              <w:rPr>
                <w:rFonts w:ascii="Arial" w:hAnsi="Arial" w:cs="Arial"/>
              </w:rPr>
              <w:t>Details changes to policy and regulations</w:t>
            </w:r>
            <w:r w:rsidR="00B757C3" w:rsidRPr="00417371">
              <w:rPr>
                <w:rFonts w:ascii="Arial" w:hAnsi="Arial" w:cs="Arial"/>
              </w:rPr>
              <w:t xml:space="preserve"> at an institutional level.</w:t>
            </w:r>
          </w:p>
        </w:tc>
      </w:tr>
    </w:tbl>
    <w:p w14:paraId="2BA4BC02" w14:textId="77777777" w:rsidR="00414358" w:rsidRPr="00417371" w:rsidRDefault="00414358">
      <w:pPr>
        <w:rPr>
          <w:rFonts w:ascii="Arial" w:hAnsi="Arial" w:cs="Arial"/>
          <w:b/>
        </w:rPr>
      </w:pPr>
      <w:r w:rsidRPr="00417371">
        <w:rPr>
          <w:rFonts w:ascii="Arial" w:hAnsi="Arial" w:cs="Arial"/>
          <w:b/>
        </w:rPr>
        <w:br w:type="page"/>
      </w:r>
    </w:p>
    <w:p w14:paraId="69CD6753" w14:textId="77777777" w:rsidR="00DF2AA6" w:rsidRPr="00417371" w:rsidRDefault="00DF2AA6" w:rsidP="00414358">
      <w:pPr>
        <w:pStyle w:val="ListParagraph"/>
        <w:numPr>
          <w:ilvl w:val="0"/>
          <w:numId w:val="42"/>
        </w:numPr>
        <w:spacing w:after="120"/>
        <w:ind w:left="426" w:hanging="426"/>
        <w:rPr>
          <w:rFonts w:ascii="Arial" w:hAnsi="Arial" w:cs="Arial"/>
          <w:b/>
        </w:rPr>
      </w:pPr>
      <w:r w:rsidRPr="00417371">
        <w:rPr>
          <w:rFonts w:ascii="Arial" w:hAnsi="Arial" w:cs="Arial"/>
          <w:b/>
        </w:rPr>
        <w:lastRenderedPageBreak/>
        <w:t>External reference points</w:t>
      </w:r>
    </w:p>
    <w:tbl>
      <w:tblPr>
        <w:tblStyle w:val="TableGrid"/>
        <w:tblW w:w="9894" w:type="dxa"/>
        <w:tblInd w:w="-5" w:type="dxa"/>
        <w:tblLook w:val="04A0" w:firstRow="1" w:lastRow="0" w:firstColumn="1" w:lastColumn="0" w:noHBand="0" w:noVBand="1"/>
      </w:tblPr>
      <w:tblGrid>
        <w:gridCol w:w="3119"/>
        <w:gridCol w:w="6775"/>
      </w:tblGrid>
      <w:tr w:rsidR="00DF2AA6" w:rsidRPr="00417371" w14:paraId="337DC205" w14:textId="77777777" w:rsidTr="00C542C9">
        <w:tc>
          <w:tcPr>
            <w:tcW w:w="3119" w:type="dxa"/>
          </w:tcPr>
          <w:p w14:paraId="0801C9C0" w14:textId="77777777" w:rsidR="00DF2AA6" w:rsidRPr="00417371" w:rsidRDefault="00DF2AA6" w:rsidP="000F2C97">
            <w:pPr>
              <w:spacing w:before="40" w:after="40"/>
              <w:rPr>
                <w:rFonts w:ascii="Arial" w:hAnsi="Arial" w:cs="Arial"/>
                <w:b/>
              </w:rPr>
            </w:pPr>
            <w:r w:rsidRPr="00417371">
              <w:rPr>
                <w:rFonts w:ascii="Arial" w:hAnsi="Arial" w:cs="Arial"/>
                <w:b/>
              </w:rPr>
              <w:t>Reference point</w:t>
            </w:r>
          </w:p>
        </w:tc>
        <w:tc>
          <w:tcPr>
            <w:tcW w:w="6775" w:type="dxa"/>
          </w:tcPr>
          <w:p w14:paraId="47A5821F" w14:textId="77777777" w:rsidR="00DF2AA6" w:rsidRPr="00417371" w:rsidRDefault="007E16FD" w:rsidP="000F2C97">
            <w:pPr>
              <w:spacing w:before="40" w:after="40"/>
              <w:rPr>
                <w:rFonts w:ascii="Arial" w:hAnsi="Arial" w:cs="Arial"/>
                <w:b/>
              </w:rPr>
            </w:pPr>
            <w:r w:rsidRPr="00417371">
              <w:rPr>
                <w:rFonts w:ascii="Arial" w:hAnsi="Arial" w:cs="Arial"/>
                <w:b/>
              </w:rPr>
              <w:t>Role and consideration of each reference point</w:t>
            </w:r>
          </w:p>
        </w:tc>
      </w:tr>
      <w:tr w:rsidR="00DF2AA6" w:rsidRPr="00417371" w14:paraId="7475FFE8" w14:textId="77777777" w:rsidTr="00C542C9">
        <w:tc>
          <w:tcPr>
            <w:tcW w:w="3119" w:type="dxa"/>
          </w:tcPr>
          <w:p w14:paraId="7A88FCB9" w14:textId="5CC816C7" w:rsidR="00DF2AA6" w:rsidRPr="00417371" w:rsidRDefault="00000000" w:rsidP="00C542C9">
            <w:pPr>
              <w:pStyle w:val="ListParagraph"/>
              <w:numPr>
                <w:ilvl w:val="0"/>
                <w:numId w:val="15"/>
              </w:numPr>
              <w:spacing w:before="40" w:after="40"/>
              <w:ind w:left="316" w:hanging="316"/>
              <w:rPr>
                <w:rFonts w:ascii="Arial" w:hAnsi="Arial" w:cs="Arial"/>
              </w:rPr>
            </w:pPr>
            <w:hyperlink r:id="rId23" w:history="1">
              <w:r w:rsidR="00B757C3" w:rsidRPr="00417371">
                <w:rPr>
                  <w:rStyle w:val="Hyperlink"/>
                  <w:rFonts w:ascii="Arial" w:hAnsi="Arial" w:cs="Arial"/>
                </w:rPr>
                <w:t>Office for Students Quality and standards conditions</w:t>
              </w:r>
            </w:hyperlink>
          </w:p>
        </w:tc>
        <w:tc>
          <w:tcPr>
            <w:tcW w:w="6775" w:type="dxa"/>
          </w:tcPr>
          <w:p w14:paraId="6125713C" w14:textId="3FB86FCB" w:rsidR="00DF2AA6" w:rsidRPr="00417371" w:rsidRDefault="00B757C3" w:rsidP="00C542C9">
            <w:r w:rsidRPr="00417371">
              <w:rPr>
                <w:rFonts w:ascii="Arial" w:hAnsi="Arial" w:cs="Arial"/>
              </w:rPr>
              <w:t>These represent the minimum requirements that a higher education provider’s courses must meet to</w:t>
            </w:r>
            <w:r w:rsidR="00F2377F" w:rsidRPr="00417371">
              <w:rPr>
                <w:rFonts w:ascii="Arial" w:hAnsi="Arial" w:cs="Arial"/>
              </w:rPr>
              <w:t xml:space="preserve"> stay registered with the Office for Students, and so represent standards that all providers must reach.</w:t>
            </w:r>
            <w:r w:rsidRPr="00417371">
              <w:rPr>
                <w:rFonts w:ascii="Arial" w:hAnsi="Arial" w:cs="Arial"/>
              </w:rPr>
              <w:t xml:space="preserve"> </w:t>
            </w:r>
          </w:p>
        </w:tc>
      </w:tr>
      <w:tr w:rsidR="00B757C3" w:rsidRPr="00417371" w14:paraId="7145A85A" w14:textId="77777777" w:rsidTr="00C542C9">
        <w:tc>
          <w:tcPr>
            <w:tcW w:w="3119" w:type="dxa"/>
          </w:tcPr>
          <w:p w14:paraId="5E1DF923" w14:textId="71F72757" w:rsidR="00B757C3" w:rsidRPr="00417371" w:rsidRDefault="00000000" w:rsidP="00B757C3">
            <w:pPr>
              <w:pStyle w:val="ListParagraph"/>
              <w:numPr>
                <w:ilvl w:val="0"/>
                <w:numId w:val="17"/>
              </w:numPr>
              <w:spacing w:before="40" w:after="40"/>
              <w:ind w:left="284" w:hanging="284"/>
              <w:rPr>
                <w:rFonts w:ascii="Arial" w:hAnsi="Arial" w:cs="Arial"/>
              </w:rPr>
            </w:pPr>
            <w:hyperlink r:id="rId24" w:history="1">
              <w:r w:rsidR="00B757C3" w:rsidRPr="00417371">
                <w:rPr>
                  <w:rStyle w:val="Hyperlink"/>
                  <w:rFonts w:ascii="Arial" w:hAnsi="Arial" w:cs="Arial"/>
                </w:rPr>
                <w:t>QAA UK Quality Code for HE</w:t>
              </w:r>
            </w:hyperlink>
          </w:p>
        </w:tc>
        <w:tc>
          <w:tcPr>
            <w:tcW w:w="6775" w:type="dxa"/>
          </w:tcPr>
          <w:p w14:paraId="3EEBA5D5" w14:textId="16F42379" w:rsidR="00B757C3" w:rsidRPr="00417371" w:rsidRDefault="00F2377F" w:rsidP="00C542C9">
            <w:pPr>
              <w:spacing w:before="40" w:after="40"/>
              <w:rPr>
                <w:rFonts w:ascii="Arial" w:hAnsi="Arial" w:cs="Arial"/>
              </w:rPr>
            </w:pPr>
            <w:r w:rsidRPr="00417371">
              <w:rPr>
                <w:rFonts w:ascii="Arial" w:hAnsi="Arial" w:cs="Arial"/>
              </w:rPr>
              <w:t xml:space="preserve">The Quality Code is a key reference point for UK higher education, setting out the expectations for all providers and outlining the core and common practices through which these are achieved. There is a wide range of accompanying </w:t>
            </w:r>
            <w:hyperlink r:id="rId25" w:history="1">
              <w:r w:rsidRPr="00417371">
                <w:rPr>
                  <w:rStyle w:val="Hyperlink"/>
                  <w:rFonts w:ascii="Arial" w:hAnsi="Arial" w:cs="Arial"/>
                </w:rPr>
                <w:t>advice and guidance</w:t>
              </w:r>
            </w:hyperlink>
            <w:r w:rsidRPr="00417371">
              <w:rPr>
                <w:rFonts w:ascii="Arial" w:hAnsi="Arial" w:cs="Arial"/>
              </w:rPr>
              <w:t>.</w:t>
            </w:r>
          </w:p>
        </w:tc>
      </w:tr>
      <w:tr w:rsidR="00F2377F" w:rsidRPr="00417371" w14:paraId="1743762F" w14:textId="77777777" w:rsidTr="00C542C9">
        <w:tc>
          <w:tcPr>
            <w:tcW w:w="3119" w:type="dxa"/>
          </w:tcPr>
          <w:p w14:paraId="09794B25" w14:textId="64B19A66" w:rsidR="00F2377F" w:rsidRPr="00417371" w:rsidRDefault="00000000" w:rsidP="001A16DC">
            <w:pPr>
              <w:pStyle w:val="ListParagraph"/>
              <w:numPr>
                <w:ilvl w:val="0"/>
                <w:numId w:val="17"/>
              </w:numPr>
              <w:spacing w:before="40" w:after="40"/>
              <w:ind w:left="284" w:hanging="284"/>
              <w:rPr>
                <w:rFonts w:ascii="Arial" w:hAnsi="Arial" w:cs="Arial"/>
              </w:rPr>
            </w:pPr>
            <w:hyperlink r:id="rId26" w:history="1">
              <w:r w:rsidR="00F2377F" w:rsidRPr="00417371">
                <w:rPr>
                  <w:rStyle w:val="Hyperlink"/>
                  <w:rFonts w:ascii="Arial" w:hAnsi="Arial" w:cs="Arial"/>
                </w:rPr>
                <w:t>QAA Frameworks for Higher Education Qualifications of UK Degree-Awarding Bodies (Qualifications Frameworks)</w:t>
              </w:r>
            </w:hyperlink>
          </w:p>
        </w:tc>
        <w:tc>
          <w:tcPr>
            <w:tcW w:w="6775" w:type="dxa"/>
          </w:tcPr>
          <w:p w14:paraId="79284B6D" w14:textId="6302976A" w:rsidR="00F2377F" w:rsidRPr="00417371" w:rsidRDefault="00BA3489" w:rsidP="00B757C3">
            <w:pPr>
              <w:spacing w:before="40" w:after="40"/>
              <w:rPr>
                <w:rFonts w:ascii="Arial" w:hAnsi="Arial" w:cs="Arial"/>
              </w:rPr>
            </w:pPr>
            <w:r w:rsidRPr="00417371">
              <w:rPr>
                <w:rFonts w:ascii="Arial" w:hAnsi="Arial" w:cs="Arial"/>
              </w:rPr>
              <w:t xml:space="preserve">These set national standards, </w:t>
            </w:r>
            <w:proofErr w:type="gramStart"/>
            <w:r w:rsidRPr="00417371">
              <w:rPr>
                <w:rFonts w:ascii="Arial" w:hAnsi="Arial" w:cs="Arial"/>
              </w:rPr>
              <w:t>expectations</w:t>
            </w:r>
            <w:proofErr w:type="gramEnd"/>
            <w:r w:rsidRPr="00417371">
              <w:rPr>
                <w:rFonts w:ascii="Arial" w:hAnsi="Arial" w:cs="Arial"/>
              </w:rPr>
              <w:t xml:space="preserve"> and guidance for:</w:t>
            </w:r>
          </w:p>
          <w:p w14:paraId="11DD766B" w14:textId="77777777" w:rsidR="00BA3489" w:rsidRPr="00417371" w:rsidRDefault="00BA3489" w:rsidP="00BA3489">
            <w:pPr>
              <w:pStyle w:val="ListParagraph"/>
              <w:numPr>
                <w:ilvl w:val="0"/>
                <w:numId w:val="45"/>
              </w:numPr>
              <w:spacing w:before="40" w:after="40"/>
              <w:rPr>
                <w:rFonts w:ascii="Arial" w:hAnsi="Arial" w:cs="Arial"/>
              </w:rPr>
            </w:pPr>
            <w:r w:rsidRPr="00417371">
              <w:rPr>
                <w:rFonts w:ascii="Arial" w:hAnsi="Arial" w:cs="Arial"/>
              </w:rPr>
              <w:t>the level of awards (e.g. level 6 - BA/BSc; level 7 - MA/MSc)</w:t>
            </w:r>
          </w:p>
          <w:p w14:paraId="7814A06A" w14:textId="77777777" w:rsidR="00BA3489" w:rsidRPr="00417371" w:rsidRDefault="00BA3489" w:rsidP="00BA3489">
            <w:pPr>
              <w:pStyle w:val="ListParagraph"/>
              <w:numPr>
                <w:ilvl w:val="0"/>
                <w:numId w:val="45"/>
              </w:numPr>
              <w:spacing w:before="40" w:after="40"/>
              <w:rPr>
                <w:rFonts w:ascii="Arial" w:hAnsi="Arial" w:cs="Arial"/>
              </w:rPr>
            </w:pPr>
            <w:r w:rsidRPr="00417371">
              <w:rPr>
                <w:rFonts w:ascii="Arial" w:hAnsi="Arial" w:cs="Arial"/>
              </w:rPr>
              <w:t>the type of award (e.g. foundation degrees; master’s degrees)</w:t>
            </w:r>
          </w:p>
          <w:p w14:paraId="457FAA05" w14:textId="77777777" w:rsidR="00BA3489" w:rsidRPr="00417371" w:rsidRDefault="00BA3489" w:rsidP="00BA3489">
            <w:pPr>
              <w:pStyle w:val="ListParagraph"/>
              <w:numPr>
                <w:ilvl w:val="0"/>
                <w:numId w:val="45"/>
              </w:numPr>
              <w:spacing w:before="40" w:after="40"/>
              <w:rPr>
                <w:rFonts w:ascii="Arial" w:hAnsi="Arial" w:cs="Arial"/>
              </w:rPr>
            </w:pPr>
            <w:r w:rsidRPr="00417371">
              <w:rPr>
                <w:rFonts w:ascii="Arial" w:hAnsi="Arial" w:cs="Arial"/>
              </w:rPr>
              <w:t>the title of awards (e.g. BSc / Grad Dip / MSc) and course titles/names (e.g. Economics and Politics v Economics with Politics)</w:t>
            </w:r>
          </w:p>
          <w:p w14:paraId="07EA8386" w14:textId="570C2B9B" w:rsidR="00BA3489" w:rsidRPr="00417371" w:rsidRDefault="00BA3489" w:rsidP="00BA3489">
            <w:pPr>
              <w:spacing w:before="40" w:after="40"/>
              <w:rPr>
                <w:rFonts w:ascii="Arial" w:hAnsi="Arial" w:cs="Arial"/>
              </w:rPr>
            </w:pPr>
            <w:r w:rsidRPr="00417371">
              <w:rPr>
                <w:rFonts w:ascii="Arial" w:hAnsi="Arial" w:cs="Arial"/>
              </w:rPr>
              <w:t xml:space="preserve">Qualification descriptors within the Frameworks are broad descriptions of the expected knowledge and abilities that students would demonstrate for each level of qualification. </w:t>
            </w:r>
            <w:r w:rsidR="001A16DC" w:rsidRPr="00417371">
              <w:rPr>
                <w:rFonts w:ascii="Arial" w:hAnsi="Arial" w:cs="Arial"/>
              </w:rPr>
              <w:t>Programmes are designed to ensure</w:t>
            </w:r>
            <w:r w:rsidR="00932516" w:rsidRPr="00417371">
              <w:rPr>
                <w:rFonts w:ascii="Arial" w:hAnsi="Arial" w:cs="Arial"/>
              </w:rPr>
              <w:t xml:space="preserve"> that students </w:t>
            </w:r>
            <w:r w:rsidR="001A16DC" w:rsidRPr="00417371">
              <w:rPr>
                <w:rFonts w:ascii="Arial" w:hAnsi="Arial" w:cs="Arial"/>
              </w:rPr>
              <w:t xml:space="preserve">can </w:t>
            </w:r>
            <w:r w:rsidR="00932516" w:rsidRPr="00417371">
              <w:rPr>
                <w:rFonts w:ascii="Arial" w:hAnsi="Arial" w:cs="Arial"/>
              </w:rPr>
              <w:t>demonstrate their achievement of learning outcomes at the appropriate level.</w:t>
            </w:r>
          </w:p>
          <w:p w14:paraId="0D447B86" w14:textId="271A1B2A" w:rsidR="00932516" w:rsidRPr="00417371" w:rsidRDefault="00932516" w:rsidP="001A16DC">
            <w:pPr>
              <w:spacing w:before="40" w:after="40"/>
              <w:rPr>
                <w:rFonts w:ascii="Arial" w:hAnsi="Arial" w:cs="Arial"/>
              </w:rPr>
            </w:pPr>
            <w:r w:rsidRPr="00417371">
              <w:rPr>
                <w:rFonts w:ascii="Arial" w:hAnsi="Arial" w:cs="Arial"/>
              </w:rPr>
              <w:t xml:space="preserve">For some qualifications (e.g. master’s degrees, higher and degree apprenticeships, foundation degrees) these are supplemented by </w:t>
            </w:r>
            <w:hyperlink r:id="rId27" w:history="1">
              <w:r w:rsidRPr="00417371">
                <w:rPr>
                  <w:rStyle w:val="Hyperlink"/>
                  <w:rFonts w:ascii="Arial" w:hAnsi="Arial" w:cs="Arial"/>
                </w:rPr>
                <w:t>Qualifications characteristics statements</w:t>
              </w:r>
            </w:hyperlink>
            <w:r w:rsidRPr="00417371">
              <w:rPr>
                <w:rFonts w:ascii="Arial" w:hAnsi="Arial" w:cs="Arial"/>
              </w:rPr>
              <w:t>, which describe the distinctive features of these courses.</w:t>
            </w:r>
          </w:p>
        </w:tc>
      </w:tr>
      <w:tr w:rsidR="00932516" w:rsidRPr="00417371" w14:paraId="3D80F6A1" w14:textId="77777777" w:rsidTr="00C542C9">
        <w:tc>
          <w:tcPr>
            <w:tcW w:w="3119" w:type="dxa"/>
          </w:tcPr>
          <w:p w14:paraId="07F8A864" w14:textId="330B4C09" w:rsidR="00932516" w:rsidRPr="00417371" w:rsidRDefault="00000000" w:rsidP="00BA3489">
            <w:pPr>
              <w:pStyle w:val="ListParagraph"/>
              <w:numPr>
                <w:ilvl w:val="0"/>
                <w:numId w:val="17"/>
              </w:numPr>
              <w:spacing w:before="40" w:after="40"/>
              <w:ind w:left="284" w:hanging="284"/>
              <w:rPr>
                <w:rFonts w:ascii="Arial" w:hAnsi="Arial" w:cs="Arial"/>
              </w:rPr>
            </w:pPr>
            <w:hyperlink r:id="rId28" w:history="1">
              <w:r w:rsidR="00932516" w:rsidRPr="00417371">
                <w:rPr>
                  <w:rStyle w:val="Hyperlink"/>
                  <w:rFonts w:ascii="Arial" w:hAnsi="Arial" w:cs="Arial"/>
                </w:rPr>
                <w:t>QAA Higher Education Credit Framework for England: Advice on Academic Credit Arrangements</w:t>
              </w:r>
            </w:hyperlink>
          </w:p>
        </w:tc>
        <w:tc>
          <w:tcPr>
            <w:tcW w:w="6775" w:type="dxa"/>
          </w:tcPr>
          <w:p w14:paraId="6960B15C" w14:textId="724E08F9" w:rsidR="00932516" w:rsidRPr="00417371" w:rsidRDefault="00932516" w:rsidP="00B757C3">
            <w:pPr>
              <w:spacing w:before="40" w:after="40"/>
              <w:rPr>
                <w:rFonts w:ascii="Arial" w:hAnsi="Arial" w:cs="Arial"/>
              </w:rPr>
            </w:pPr>
            <w:r w:rsidRPr="00417371">
              <w:rPr>
                <w:rFonts w:ascii="Arial" w:hAnsi="Arial" w:cs="Arial"/>
              </w:rPr>
              <w:t>This includes the 2021 Higher Education Credit Framework for England, which is embedded in University of Essex courses</w:t>
            </w:r>
            <w:r w:rsidR="004854F9" w:rsidRPr="00417371">
              <w:rPr>
                <w:rFonts w:ascii="Arial" w:hAnsi="Arial" w:cs="Arial"/>
              </w:rPr>
              <w:t xml:space="preserve">. There is further </w:t>
            </w:r>
            <w:hyperlink r:id="rId29" w:history="1">
              <w:r w:rsidR="004854F9" w:rsidRPr="00417371">
                <w:rPr>
                  <w:rStyle w:val="Hyperlink"/>
                  <w:rFonts w:ascii="Arial" w:hAnsi="Arial" w:cs="Arial"/>
                </w:rPr>
                <w:t>accompanying guidance</w:t>
              </w:r>
            </w:hyperlink>
            <w:r w:rsidR="004854F9" w:rsidRPr="00417371">
              <w:rPr>
                <w:rFonts w:ascii="Arial" w:hAnsi="Arial" w:cs="Arial"/>
              </w:rPr>
              <w:t xml:space="preserve"> on how credit can be used flexibly, which may be of particular interest for particular types of provision, including continuing professional development, ‘top-up’ degrees and accelerated degrees.</w:t>
            </w:r>
          </w:p>
        </w:tc>
      </w:tr>
      <w:tr w:rsidR="004854F9" w:rsidRPr="00417371" w14:paraId="03A58992" w14:textId="77777777" w:rsidTr="00C542C9">
        <w:tc>
          <w:tcPr>
            <w:tcW w:w="3119" w:type="dxa"/>
          </w:tcPr>
          <w:p w14:paraId="031911CC" w14:textId="2767881E" w:rsidR="004854F9" w:rsidRPr="00417371" w:rsidRDefault="00000000" w:rsidP="00BA3489">
            <w:pPr>
              <w:pStyle w:val="ListParagraph"/>
              <w:numPr>
                <w:ilvl w:val="0"/>
                <w:numId w:val="17"/>
              </w:numPr>
              <w:spacing w:before="40" w:after="40"/>
              <w:ind w:left="284" w:hanging="284"/>
              <w:rPr>
                <w:rFonts w:ascii="Arial" w:hAnsi="Arial" w:cs="Arial"/>
              </w:rPr>
            </w:pPr>
            <w:hyperlink r:id="rId30" w:history="1">
              <w:r w:rsidR="004854F9" w:rsidRPr="00417371">
                <w:rPr>
                  <w:rStyle w:val="Hyperlink"/>
                  <w:rFonts w:ascii="Arial" w:hAnsi="Arial" w:cs="Arial"/>
                </w:rPr>
                <w:t>QAA Subject benchmarks</w:t>
              </w:r>
            </w:hyperlink>
          </w:p>
        </w:tc>
        <w:tc>
          <w:tcPr>
            <w:tcW w:w="6775" w:type="dxa"/>
          </w:tcPr>
          <w:p w14:paraId="73CC6758" w14:textId="112EBBC6" w:rsidR="004854F9" w:rsidRPr="00417371" w:rsidRDefault="004854F9" w:rsidP="00B757C3">
            <w:pPr>
              <w:spacing w:before="40" w:after="40"/>
              <w:rPr>
                <w:rFonts w:ascii="Arial" w:hAnsi="Arial" w:cs="Arial"/>
              </w:rPr>
            </w:pPr>
            <w:r w:rsidRPr="00417371">
              <w:rPr>
                <w:rFonts w:ascii="Arial" w:hAnsi="Arial" w:cs="Arial"/>
              </w:rPr>
              <w:t xml:space="preserve">Subject Benchmark Statements describe the nature of study and the academic standards expected of graduates in specific subject areas. They show what graduates might reasonably be expected to know, </w:t>
            </w:r>
            <w:proofErr w:type="gramStart"/>
            <w:r w:rsidRPr="00417371">
              <w:rPr>
                <w:rFonts w:ascii="Arial" w:hAnsi="Arial" w:cs="Arial"/>
              </w:rPr>
              <w:t>do</w:t>
            </w:r>
            <w:proofErr w:type="gramEnd"/>
            <w:r w:rsidRPr="00417371">
              <w:rPr>
                <w:rFonts w:ascii="Arial" w:hAnsi="Arial" w:cs="Arial"/>
              </w:rPr>
              <w:t xml:space="preserve"> and understand at the end of their studies. They are available for bachelor’s and master’s degrees and, where available, are considered in the design and review of all relevant courses.</w:t>
            </w:r>
          </w:p>
        </w:tc>
      </w:tr>
      <w:tr w:rsidR="00F30145" w:rsidRPr="00417371" w14:paraId="56A8A21B" w14:textId="77777777" w:rsidTr="481EA4AD">
        <w:tc>
          <w:tcPr>
            <w:tcW w:w="3119" w:type="dxa"/>
          </w:tcPr>
          <w:p w14:paraId="62B133E4" w14:textId="405754D4" w:rsidR="00F30145" w:rsidRPr="00417371" w:rsidRDefault="00000000" w:rsidP="00BA3489">
            <w:pPr>
              <w:pStyle w:val="ListParagraph"/>
              <w:numPr>
                <w:ilvl w:val="0"/>
                <w:numId w:val="17"/>
              </w:numPr>
              <w:spacing w:before="40" w:after="40"/>
              <w:ind w:left="284" w:hanging="284"/>
              <w:rPr>
                <w:rFonts w:ascii="Arial" w:hAnsi="Arial" w:cs="Arial"/>
              </w:rPr>
            </w:pPr>
            <w:hyperlink r:id="rId31" w:history="1">
              <w:r w:rsidR="00F30145" w:rsidRPr="00417371">
                <w:rPr>
                  <w:rStyle w:val="Hyperlink"/>
                  <w:rFonts w:ascii="Arial" w:hAnsi="Arial" w:cs="Arial"/>
                </w:rPr>
                <w:t>Department for Education (DfE)</w:t>
              </w:r>
            </w:hyperlink>
          </w:p>
        </w:tc>
        <w:tc>
          <w:tcPr>
            <w:tcW w:w="6775" w:type="dxa"/>
          </w:tcPr>
          <w:p w14:paraId="4320A6B7" w14:textId="7A3339C5" w:rsidR="00F30145" w:rsidRPr="00417371" w:rsidRDefault="00F30145" w:rsidP="00B757C3">
            <w:pPr>
              <w:spacing w:before="40" w:after="40"/>
              <w:rPr>
                <w:rFonts w:ascii="Arial" w:hAnsi="Arial" w:cs="Arial"/>
              </w:rPr>
            </w:pPr>
            <w:r w:rsidRPr="00417371">
              <w:rPr>
                <w:rFonts w:ascii="Arial" w:hAnsi="Arial" w:cs="Arial"/>
              </w:rPr>
              <w:t xml:space="preserve">Overall accountability for quality, including the occupational standard and the end-point assessment in </w:t>
            </w:r>
            <w:r w:rsidR="00114850" w:rsidRPr="00417371">
              <w:rPr>
                <w:rFonts w:ascii="Arial" w:hAnsi="Arial" w:cs="Arial"/>
              </w:rPr>
              <w:t>a</w:t>
            </w:r>
            <w:r w:rsidRPr="00417371">
              <w:rPr>
                <w:rFonts w:ascii="Arial" w:hAnsi="Arial" w:cs="Arial"/>
              </w:rPr>
              <w:t>pprenticeships</w:t>
            </w:r>
          </w:p>
        </w:tc>
      </w:tr>
      <w:tr w:rsidR="00137606" w:rsidRPr="00417371" w14:paraId="589D5DB4" w14:textId="77777777" w:rsidTr="481EA4AD">
        <w:tc>
          <w:tcPr>
            <w:tcW w:w="3119" w:type="dxa"/>
          </w:tcPr>
          <w:p w14:paraId="2ACB1C03" w14:textId="7FD65B27" w:rsidR="00137606" w:rsidRPr="00417371" w:rsidRDefault="00000000" w:rsidP="00BA3489">
            <w:pPr>
              <w:pStyle w:val="ListParagraph"/>
              <w:numPr>
                <w:ilvl w:val="0"/>
                <w:numId w:val="17"/>
              </w:numPr>
              <w:spacing w:before="40" w:after="40"/>
              <w:ind w:left="284" w:hanging="284"/>
              <w:rPr>
                <w:rFonts w:ascii="Arial" w:hAnsi="Arial" w:cs="Arial"/>
              </w:rPr>
            </w:pPr>
            <w:hyperlink r:id="rId32" w:history="1">
              <w:r w:rsidR="00F30145" w:rsidRPr="00417371">
                <w:rPr>
                  <w:rStyle w:val="Hyperlink"/>
                  <w:rFonts w:ascii="Arial" w:hAnsi="Arial" w:cs="Arial"/>
                  <w:bCs/>
                </w:rPr>
                <w:t>Education and Skills Funding Agency (ESFA)</w:t>
              </w:r>
            </w:hyperlink>
          </w:p>
        </w:tc>
        <w:tc>
          <w:tcPr>
            <w:tcW w:w="6775" w:type="dxa"/>
          </w:tcPr>
          <w:p w14:paraId="4CFE7362" w14:textId="27DD7591" w:rsidR="00137606" w:rsidRPr="00417371" w:rsidRDefault="00137606" w:rsidP="00B757C3">
            <w:pPr>
              <w:spacing w:before="40" w:after="40"/>
              <w:rPr>
                <w:rFonts w:ascii="Arial" w:hAnsi="Arial" w:cs="Arial"/>
              </w:rPr>
            </w:pPr>
            <w:r w:rsidRPr="00417371">
              <w:rPr>
                <w:rFonts w:ascii="Arial" w:hAnsi="Arial" w:cs="Arial"/>
              </w:rPr>
              <w:t xml:space="preserve">The ESFA brings together the former responsibilities of the Education Funding Agency (EFA) and Skills Funding Agency (SFA) to create a single agency accountable for funding education and skills for children, young </w:t>
            </w:r>
            <w:proofErr w:type="gramStart"/>
            <w:r w:rsidRPr="00417371">
              <w:rPr>
                <w:rFonts w:ascii="Arial" w:hAnsi="Arial" w:cs="Arial"/>
              </w:rPr>
              <w:t>people</w:t>
            </w:r>
            <w:proofErr w:type="gramEnd"/>
            <w:r w:rsidRPr="00417371">
              <w:rPr>
                <w:rFonts w:ascii="Arial" w:hAnsi="Arial" w:cs="Arial"/>
              </w:rPr>
              <w:t xml:space="preserve"> and adults. </w:t>
            </w:r>
            <w:r w:rsidRPr="00417371">
              <w:rPr>
                <w:rFonts w:ascii="Arial" w:hAnsi="Arial" w:cs="Arial"/>
              </w:rPr>
              <w:lastRenderedPageBreak/>
              <w:t>ESFA is an executive agency, sponsored by the Department for Education.</w:t>
            </w:r>
          </w:p>
        </w:tc>
      </w:tr>
      <w:tr w:rsidR="00F30145" w:rsidRPr="00417371" w14:paraId="36FADB02" w14:textId="77777777" w:rsidTr="481EA4AD">
        <w:tc>
          <w:tcPr>
            <w:tcW w:w="3119" w:type="dxa"/>
          </w:tcPr>
          <w:p w14:paraId="5A08A6C6" w14:textId="5BCCAD85" w:rsidR="00F30145" w:rsidRPr="00417371" w:rsidRDefault="00000000" w:rsidP="00BA3489">
            <w:pPr>
              <w:pStyle w:val="ListParagraph"/>
              <w:numPr>
                <w:ilvl w:val="0"/>
                <w:numId w:val="17"/>
              </w:numPr>
              <w:spacing w:before="40" w:after="40"/>
              <w:ind w:left="284" w:hanging="284"/>
              <w:rPr>
                <w:rFonts w:ascii="Arial" w:hAnsi="Arial" w:cs="Arial"/>
              </w:rPr>
            </w:pPr>
            <w:hyperlink r:id="rId33" w:history="1">
              <w:r w:rsidR="00F30145" w:rsidRPr="00417371">
                <w:rPr>
                  <w:rStyle w:val="Hyperlink"/>
                  <w:rFonts w:ascii="Arial" w:hAnsi="Arial" w:cs="Arial"/>
                  <w:bCs/>
                </w:rPr>
                <w:t>Institute for Apprenticeships and Technical Education</w:t>
              </w:r>
            </w:hyperlink>
          </w:p>
        </w:tc>
        <w:tc>
          <w:tcPr>
            <w:tcW w:w="6775" w:type="dxa"/>
          </w:tcPr>
          <w:p w14:paraId="18F2D5A5" w14:textId="527D894B" w:rsidR="00F30145" w:rsidRPr="00417371" w:rsidRDefault="00F30145" w:rsidP="00ED47C3">
            <w:pPr>
              <w:spacing w:before="40" w:after="40"/>
              <w:rPr>
                <w:rFonts w:ascii="Arial" w:hAnsi="Arial" w:cs="Arial"/>
              </w:rPr>
            </w:pPr>
            <w:r w:rsidRPr="00417371">
              <w:rPr>
                <w:rFonts w:ascii="Arial" w:hAnsi="Arial" w:cs="Arial"/>
              </w:rPr>
              <w:t>Apprenticeship standards development, review, and approval.</w:t>
            </w:r>
          </w:p>
        </w:tc>
      </w:tr>
      <w:tr w:rsidR="00ED47C3" w:rsidRPr="00417371" w14:paraId="6E403191" w14:textId="77777777" w:rsidTr="481EA4AD">
        <w:tc>
          <w:tcPr>
            <w:tcW w:w="3119" w:type="dxa"/>
          </w:tcPr>
          <w:p w14:paraId="08822E2D" w14:textId="21C74F87" w:rsidR="00ED47C3" w:rsidRPr="00417371" w:rsidRDefault="00000000" w:rsidP="00BA3489">
            <w:pPr>
              <w:pStyle w:val="ListParagraph"/>
              <w:numPr>
                <w:ilvl w:val="0"/>
                <w:numId w:val="17"/>
              </w:numPr>
              <w:spacing w:before="40" w:after="40"/>
              <w:ind w:left="284" w:hanging="284"/>
              <w:rPr>
                <w:rFonts w:ascii="Arial" w:hAnsi="Arial" w:cs="Arial"/>
              </w:rPr>
            </w:pPr>
            <w:hyperlink r:id="rId34" w:history="1">
              <w:r w:rsidR="00F30145" w:rsidRPr="00417371">
                <w:rPr>
                  <w:rStyle w:val="Hyperlink"/>
                  <w:rFonts w:ascii="Arial" w:hAnsi="Arial" w:cs="Arial"/>
                </w:rPr>
                <w:t>Office for Standards in Education, Children’s Services and Skills (Ofsted)</w:t>
              </w:r>
            </w:hyperlink>
          </w:p>
        </w:tc>
        <w:tc>
          <w:tcPr>
            <w:tcW w:w="6775" w:type="dxa"/>
          </w:tcPr>
          <w:p w14:paraId="05321AF1" w14:textId="260AB67D" w:rsidR="00ED47C3" w:rsidRPr="00417371" w:rsidRDefault="00ED47C3" w:rsidP="00ED47C3">
            <w:pPr>
              <w:spacing w:before="40" w:after="40"/>
              <w:rPr>
                <w:rFonts w:ascii="Arial" w:hAnsi="Arial" w:cs="Arial"/>
              </w:rPr>
            </w:pPr>
            <w:r w:rsidRPr="00417371">
              <w:rPr>
                <w:rFonts w:ascii="Arial" w:hAnsi="Arial" w:cs="Arial"/>
              </w:rPr>
              <w:t>Ofsted inspect the quality of apprenticeship training that is delivered by providers to ensure it is high-quality and meets the needs of employers and apprentices.</w:t>
            </w:r>
            <w:r w:rsidR="00F30145" w:rsidRPr="00417371">
              <w:rPr>
                <w:rFonts w:ascii="Arial" w:hAnsi="Arial" w:cs="Arial"/>
              </w:rPr>
              <w:t xml:space="preserve"> </w:t>
            </w:r>
            <w:r w:rsidRPr="00417371">
              <w:rPr>
                <w:rFonts w:ascii="Arial" w:hAnsi="Arial" w:cs="Arial"/>
              </w:rPr>
              <w:t>For providers offering higher, level 6 plus and degree apprenticeships that are also regulated by the Office for Students (on the OfS Register), these providers are also in scope of OfS regulation. The OfS regulates at provider level and consider apprentices’ outcomes as part of its assessment of the overall quality of a provider.</w:t>
            </w:r>
          </w:p>
        </w:tc>
      </w:tr>
      <w:tr w:rsidR="00F30145" w:rsidRPr="00417371" w14:paraId="2E3B4615" w14:textId="77777777" w:rsidTr="481EA4AD">
        <w:tc>
          <w:tcPr>
            <w:tcW w:w="3119" w:type="dxa"/>
          </w:tcPr>
          <w:p w14:paraId="1B9E601C" w14:textId="335FF378" w:rsidR="00F30145" w:rsidRPr="00417371" w:rsidRDefault="00000000" w:rsidP="00B757C3">
            <w:pPr>
              <w:pStyle w:val="ListParagraph"/>
              <w:numPr>
                <w:ilvl w:val="0"/>
                <w:numId w:val="17"/>
              </w:numPr>
              <w:spacing w:before="40" w:after="40"/>
              <w:ind w:left="284" w:hanging="284"/>
              <w:rPr>
                <w:rFonts w:ascii="Arial" w:hAnsi="Arial" w:cs="Arial"/>
              </w:rPr>
            </w:pPr>
            <w:hyperlink r:id="rId35" w:history="1">
              <w:r w:rsidR="00F30145" w:rsidRPr="00417371">
                <w:rPr>
                  <w:rStyle w:val="Hyperlink"/>
                  <w:rFonts w:ascii="Arial" w:hAnsi="Arial" w:cs="Arial"/>
                </w:rPr>
                <w:t>Office of Qualifications and Examinations Regulation (Ofqual)</w:t>
              </w:r>
            </w:hyperlink>
          </w:p>
        </w:tc>
        <w:tc>
          <w:tcPr>
            <w:tcW w:w="6775" w:type="dxa"/>
          </w:tcPr>
          <w:p w14:paraId="25D9C3DA" w14:textId="4658DAB2" w:rsidR="00F30145" w:rsidRPr="00417371" w:rsidRDefault="00F30145">
            <w:pPr>
              <w:spacing w:before="40" w:after="40"/>
              <w:rPr>
                <w:rFonts w:ascii="Arial" w:hAnsi="Arial" w:cs="Arial"/>
              </w:rPr>
            </w:pPr>
            <w:r w:rsidRPr="00417371">
              <w:rPr>
                <w:rFonts w:ascii="Arial" w:hAnsi="Arial" w:cs="Arial"/>
              </w:rPr>
              <w:t>Quality of qualifications in Register of Regulated Qualifications.</w:t>
            </w:r>
          </w:p>
        </w:tc>
      </w:tr>
      <w:tr w:rsidR="00B757C3" w:rsidRPr="00417371" w14:paraId="27E50831" w14:textId="77777777" w:rsidTr="00C542C9">
        <w:tc>
          <w:tcPr>
            <w:tcW w:w="3119" w:type="dxa"/>
          </w:tcPr>
          <w:p w14:paraId="604A9E6E" w14:textId="16DA907C" w:rsidR="00B757C3" w:rsidRPr="00417371" w:rsidRDefault="00000000" w:rsidP="00B757C3">
            <w:pPr>
              <w:pStyle w:val="ListParagraph"/>
              <w:numPr>
                <w:ilvl w:val="0"/>
                <w:numId w:val="17"/>
              </w:numPr>
              <w:spacing w:before="40" w:after="40"/>
              <w:ind w:left="284" w:hanging="284"/>
              <w:rPr>
                <w:rFonts w:ascii="Arial" w:hAnsi="Arial" w:cs="Arial"/>
              </w:rPr>
            </w:pPr>
            <w:hyperlink r:id="rId36" w:history="1">
              <w:r w:rsidR="00B757C3" w:rsidRPr="00417371">
                <w:rPr>
                  <w:rStyle w:val="Hyperlink"/>
                  <w:rFonts w:ascii="Arial" w:hAnsi="Arial" w:cs="Arial"/>
                </w:rPr>
                <w:t>Professional Statutory and Regulatory Body (PSRB) requirements</w:t>
              </w:r>
            </w:hyperlink>
          </w:p>
        </w:tc>
        <w:tc>
          <w:tcPr>
            <w:tcW w:w="6775" w:type="dxa"/>
          </w:tcPr>
          <w:p w14:paraId="0A2AD2C8" w14:textId="6F41C096" w:rsidR="00B757C3" w:rsidRPr="00417371" w:rsidRDefault="00F2377F" w:rsidP="00C542C9">
            <w:pPr>
              <w:spacing w:before="40" w:after="40"/>
              <w:rPr>
                <w:rFonts w:ascii="Arial" w:hAnsi="Arial" w:cs="Arial"/>
              </w:rPr>
            </w:pPr>
            <w:r w:rsidRPr="00417371">
              <w:rPr>
                <w:rFonts w:ascii="Arial" w:hAnsi="Arial" w:cs="Arial"/>
              </w:rPr>
              <w:t>Relevant e</w:t>
            </w:r>
            <w:r w:rsidR="00B757C3" w:rsidRPr="00417371">
              <w:rPr>
                <w:rFonts w:ascii="Arial" w:hAnsi="Arial" w:cs="Arial"/>
              </w:rPr>
              <w:t>xternal professional, statutory and regulatory bodies recognise or accredit all or part of a course, e.g. for membership or exemption from modules offered by the PSRB</w:t>
            </w:r>
            <w:r w:rsidR="001A16DC" w:rsidRPr="00417371">
              <w:rPr>
                <w:rFonts w:ascii="Arial" w:hAnsi="Arial" w:cs="Arial"/>
              </w:rPr>
              <w:t>.</w:t>
            </w:r>
            <w:r w:rsidR="00B757C3" w:rsidRPr="00417371">
              <w:rPr>
                <w:rFonts w:ascii="Arial" w:hAnsi="Arial" w:cs="Arial"/>
              </w:rPr>
              <w:t xml:space="preserve"> </w:t>
            </w:r>
            <w:r w:rsidRPr="00417371">
              <w:rPr>
                <w:rFonts w:ascii="Arial" w:hAnsi="Arial" w:cs="Arial"/>
              </w:rPr>
              <w:t>Their r</w:t>
            </w:r>
            <w:r w:rsidR="00B757C3" w:rsidRPr="00417371">
              <w:rPr>
                <w:rFonts w:ascii="Arial" w:hAnsi="Arial" w:cs="Arial"/>
              </w:rPr>
              <w:t xml:space="preserve">equirements are </w:t>
            </w:r>
            <w:proofErr w:type="gramStart"/>
            <w:r w:rsidR="00B757C3" w:rsidRPr="00417371">
              <w:rPr>
                <w:rFonts w:ascii="Arial" w:hAnsi="Arial" w:cs="Arial"/>
              </w:rPr>
              <w:t>taken into account</w:t>
            </w:r>
            <w:proofErr w:type="gramEnd"/>
            <w:r w:rsidR="00B757C3" w:rsidRPr="00417371">
              <w:rPr>
                <w:rFonts w:ascii="Arial" w:hAnsi="Arial" w:cs="Arial"/>
              </w:rPr>
              <w:t xml:space="preserve"> in course design and in the regulations that apply to</w:t>
            </w:r>
            <w:r w:rsidRPr="00417371">
              <w:rPr>
                <w:rFonts w:ascii="Arial" w:hAnsi="Arial" w:cs="Arial"/>
              </w:rPr>
              <w:t xml:space="preserve"> relevant</w:t>
            </w:r>
            <w:r w:rsidR="00B757C3" w:rsidRPr="00417371">
              <w:rPr>
                <w:rFonts w:ascii="Arial" w:hAnsi="Arial" w:cs="Arial"/>
              </w:rPr>
              <w:t xml:space="preserve"> courses</w:t>
            </w:r>
            <w:r w:rsidR="001A16DC" w:rsidRPr="00417371">
              <w:rPr>
                <w:rFonts w:ascii="Arial" w:hAnsi="Arial" w:cs="Arial"/>
              </w:rPr>
              <w:t>.</w:t>
            </w:r>
          </w:p>
        </w:tc>
      </w:tr>
      <w:tr w:rsidR="00B757C3" w:rsidRPr="00417371" w14:paraId="746EA6A9" w14:textId="77777777" w:rsidTr="00C542C9">
        <w:tc>
          <w:tcPr>
            <w:tcW w:w="3119" w:type="dxa"/>
          </w:tcPr>
          <w:p w14:paraId="13F3AE63" w14:textId="43293199" w:rsidR="00B757C3" w:rsidRPr="0068251B" w:rsidRDefault="481EA4AD" w:rsidP="481EA4AD">
            <w:pPr>
              <w:pStyle w:val="ListParagraph"/>
              <w:numPr>
                <w:ilvl w:val="0"/>
                <w:numId w:val="17"/>
              </w:numPr>
              <w:spacing w:before="40" w:after="40"/>
              <w:ind w:left="284" w:hanging="284"/>
              <w:rPr>
                <w:rFonts w:ascii="Arial" w:hAnsi="Arial" w:cs="Arial"/>
              </w:rPr>
            </w:pPr>
            <w:r w:rsidRPr="0068251B">
              <w:rPr>
                <w:rFonts w:ascii="Arial" w:hAnsi="Arial" w:cs="Arial"/>
              </w:rPr>
              <w:t>External Examiners</w:t>
            </w:r>
          </w:p>
        </w:tc>
        <w:tc>
          <w:tcPr>
            <w:tcW w:w="6775" w:type="dxa"/>
          </w:tcPr>
          <w:p w14:paraId="6F5D96CA" w14:textId="65F7C7F5" w:rsidR="00B757C3" w:rsidRPr="0068251B" w:rsidRDefault="00B757C3" w:rsidP="00C542C9">
            <w:pPr>
              <w:spacing w:before="40" w:after="40"/>
              <w:rPr>
                <w:rFonts w:ascii="Arial" w:hAnsi="Arial" w:cs="Arial"/>
              </w:rPr>
            </w:pPr>
            <w:r w:rsidRPr="0068251B">
              <w:rPr>
                <w:rFonts w:ascii="Arial" w:hAnsi="Arial" w:cs="Arial"/>
              </w:rPr>
              <w:t xml:space="preserve">External Examiners play a key role in offering comparison against other HE institutions and national benchmarks. </w:t>
            </w:r>
            <w:r w:rsidR="001A16DC" w:rsidRPr="0068251B">
              <w:rPr>
                <w:rFonts w:ascii="Arial" w:hAnsi="Arial" w:cs="Arial"/>
              </w:rPr>
              <w:t xml:space="preserve">There is a full role description </w:t>
            </w:r>
            <w:hyperlink r:id="rId37" w:history="1">
              <w:r w:rsidR="001A16DC" w:rsidRPr="0068251B">
                <w:rPr>
                  <w:rStyle w:val="Hyperlink"/>
                  <w:rFonts w:ascii="Arial" w:hAnsi="Arial" w:cs="Arial"/>
                </w:rPr>
                <w:t>here</w:t>
              </w:r>
            </w:hyperlink>
            <w:r w:rsidR="001A16DC" w:rsidRPr="0068251B">
              <w:rPr>
                <w:rFonts w:ascii="Arial" w:hAnsi="Arial" w:cs="Arial"/>
              </w:rPr>
              <w:t xml:space="preserve">. </w:t>
            </w:r>
            <w:r w:rsidRPr="0068251B">
              <w:rPr>
                <w:rFonts w:ascii="Arial" w:hAnsi="Arial" w:cs="Arial"/>
              </w:rPr>
              <w:t>Their annual reports offer feedback at course and module level</w:t>
            </w:r>
            <w:r w:rsidR="001A16DC" w:rsidRPr="0068251B">
              <w:rPr>
                <w:rFonts w:ascii="Arial" w:hAnsi="Arial" w:cs="Arial"/>
              </w:rPr>
              <w:t xml:space="preserve"> and they are consulted on course and module developments</w:t>
            </w:r>
            <w:r w:rsidR="00C542C9" w:rsidRPr="0068251B">
              <w:rPr>
                <w:rFonts w:ascii="Arial" w:hAnsi="Arial" w:cs="Arial"/>
              </w:rPr>
              <w:t xml:space="preserve"> according to our </w:t>
            </w:r>
            <w:hyperlink r:id="rId38" w:history="1">
              <w:r w:rsidR="00C542C9" w:rsidRPr="0068251B">
                <w:rPr>
                  <w:rStyle w:val="Hyperlink"/>
                  <w:rFonts w:ascii="Arial" w:hAnsi="Arial" w:cs="Arial"/>
                </w:rPr>
                <w:t>external consultation framework</w:t>
              </w:r>
            </w:hyperlink>
            <w:r w:rsidRPr="0068251B">
              <w:rPr>
                <w:rFonts w:ascii="Arial" w:hAnsi="Arial" w:cs="Arial"/>
              </w:rPr>
              <w:t>.</w:t>
            </w:r>
          </w:p>
        </w:tc>
      </w:tr>
      <w:tr w:rsidR="00B757C3" w:rsidRPr="00417371" w14:paraId="004153D3" w14:textId="77777777" w:rsidTr="00C542C9">
        <w:tc>
          <w:tcPr>
            <w:tcW w:w="3119" w:type="dxa"/>
          </w:tcPr>
          <w:p w14:paraId="53FC9528" w14:textId="77777777" w:rsidR="00B757C3" w:rsidRPr="00417371" w:rsidRDefault="00B757C3" w:rsidP="00B757C3">
            <w:pPr>
              <w:pStyle w:val="ListParagraph"/>
              <w:numPr>
                <w:ilvl w:val="0"/>
                <w:numId w:val="17"/>
              </w:numPr>
              <w:spacing w:before="40" w:after="40"/>
              <w:ind w:left="284" w:hanging="284"/>
              <w:rPr>
                <w:rFonts w:ascii="Arial" w:hAnsi="Arial" w:cs="Arial"/>
              </w:rPr>
            </w:pPr>
            <w:r w:rsidRPr="00417371">
              <w:rPr>
                <w:rFonts w:ascii="Arial" w:hAnsi="Arial" w:cs="Arial"/>
              </w:rPr>
              <w:t>External academics</w:t>
            </w:r>
          </w:p>
        </w:tc>
        <w:tc>
          <w:tcPr>
            <w:tcW w:w="6775" w:type="dxa"/>
          </w:tcPr>
          <w:p w14:paraId="56FE9906" w14:textId="7B8097AD" w:rsidR="00B757C3" w:rsidRPr="00417371" w:rsidRDefault="001A16DC" w:rsidP="00C542C9">
            <w:pPr>
              <w:spacing w:before="40" w:after="40"/>
              <w:rPr>
                <w:rFonts w:ascii="Arial" w:hAnsi="Arial" w:cs="Arial"/>
              </w:rPr>
            </w:pPr>
            <w:r w:rsidRPr="00417371">
              <w:rPr>
                <w:rFonts w:ascii="Arial" w:hAnsi="Arial" w:cs="Arial"/>
              </w:rPr>
              <w:t>C</w:t>
            </w:r>
            <w:r w:rsidR="00B757C3" w:rsidRPr="00417371">
              <w:rPr>
                <w:rFonts w:ascii="Arial" w:hAnsi="Arial" w:cs="Arial"/>
              </w:rPr>
              <w:t>onsulted as part of course developments and approvals</w:t>
            </w:r>
            <w:r w:rsidRPr="00417371">
              <w:rPr>
                <w:rFonts w:ascii="Arial" w:hAnsi="Arial" w:cs="Arial"/>
              </w:rPr>
              <w:t xml:space="preserve"> and i</w:t>
            </w:r>
            <w:r w:rsidR="00B757C3" w:rsidRPr="00417371">
              <w:rPr>
                <w:rFonts w:ascii="Arial" w:hAnsi="Arial" w:cs="Arial"/>
              </w:rPr>
              <w:t>ncluded on validation and Periodic Review panels</w:t>
            </w:r>
            <w:r w:rsidRPr="00417371">
              <w:rPr>
                <w:rFonts w:ascii="Arial" w:hAnsi="Arial" w:cs="Arial"/>
              </w:rPr>
              <w:t>.</w:t>
            </w:r>
          </w:p>
        </w:tc>
      </w:tr>
      <w:tr w:rsidR="00B757C3" w:rsidRPr="00417371" w14:paraId="521A2C0B" w14:textId="77777777" w:rsidTr="00C542C9">
        <w:tc>
          <w:tcPr>
            <w:tcW w:w="3119" w:type="dxa"/>
          </w:tcPr>
          <w:p w14:paraId="6539748E" w14:textId="77777777" w:rsidR="00B757C3" w:rsidRPr="00417371" w:rsidRDefault="00B757C3" w:rsidP="00B757C3">
            <w:pPr>
              <w:pStyle w:val="ListParagraph"/>
              <w:numPr>
                <w:ilvl w:val="0"/>
                <w:numId w:val="17"/>
              </w:numPr>
              <w:spacing w:before="40" w:after="40"/>
              <w:ind w:left="284" w:hanging="284"/>
              <w:rPr>
                <w:rFonts w:ascii="Arial" w:hAnsi="Arial" w:cs="Arial"/>
              </w:rPr>
            </w:pPr>
            <w:r w:rsidRPr="00417371">
              <w:rPr>
                <w:rFonts w:ascii="Arial" w:hAnsi="Arial" w:cs="Arial"/>
              </w:rPr>
              <w:t>Employer / industry experts</w:t>
            </w:r>
          </w:p>
        </w:tc>
        <w:tc>
          <w:tcPr>
            <w:tcW w:w="6775" w:type="dxa"/>
          </w:tcPr>
          <w:p w14:paraId="7C39D7D6" w14:textId="5088F44F" w:rsidR="00B757C3" w:rsidRPr="00417371" w:rsidRDefault="00B757C3" w:rsidP="00C542C9">
            <w:pPr>
              <w:spacing w:before="40" w:after="40"/>
              <w:rPr>
                <w:rFonts w:ascii="Arial" w:hAnsi="Arial" w:cs="Arial"/>
              </w:rPr>
            </w:pPr>
            <w:r w:rsidRPr="00417371">
              <w:rPr>
                <w:rFonts w:ascii="Arial" w:hAnsi="Arial" w:cs="Arial"/>
              </w:rPr>
              <w:t>Consulted as part of course developments and approvals</w:t>
            </w:r>
            <w:r w:rsidR="001A16DC" w:rsidRPr="00417371">
              <w:rPr>
                <w:rFonts w:ascii="Arial" w:hAnsi="Arial" w:cs="Arial"/>
              </w:rPr>
              <w:t xml:space="preserve"> and e</w:t>
            </w:r>
            <w:r w:rsidRPr="00417371">
              <w:rPr>
                <w:rFonts w:ascii="Arial" w:hAnsi="Arial" w:cs="Arial"/>
              </w:rPr>
              <w:t>ngaged in initiatives to develop students’ employability skills</w:t>
            </w:r>
            <w:r w:rsidR="001A16DC" w:rsidRPr="00417371">
              <w:rPr>
                <w:rFonts w:ascii="Arial" w:hAnsi="Arial" w:cs="Arial"/>
              </w:rPr>
              <w:t>.</w:t>
            </w:r>
          </w:p>
        </w:tc>
      </w:tr>
    </w:tbl>
    <w:p w14:paraId="51189336" w14:textId="31116147" w:rsidR="00510B4C" w:rsidRPr="00417371" w:rsidRDefault="00510B4C">
      <w:pPr>
        <w:rPr>
          <w:rFonts w:ascii="Arial" w:hAnsi="Arial" w:cs="Arial"/>
        </w:rPr>
      </w:pPr>
    </w:p>
    <w:p w14:paraId="18BDF64A" w14:textId="37B48ABA" w:rsidR="002A6F29" w:rsidRPr="00417371" w:rsidRDefault="002A6F29">
      <w:pPr>
        <w:rPr>
          <w:rFonts w:ascii="Arial" w:hAnsi="Arial" w:cs="Arial"/>
        </w:rPr>
      </w:pPr>
    </w:p>
    <w:p w14:paraId="243ACA1A" w14:textId="7E681AB0" w:rsidR="00175369" w:rsidRPr="00417371" w:rsidRDefault="00175369">
      <w:pPr>
        <w:rPr>
          <w:rFonts w:ascii="Arial" w:hAnsi="Arial" w:cs="Arial"/>
        </w:rPr>
      </w:pPr>
    </w:p>
    <w:p w14:paraId="7AD4CA92" w14:textId="506C2DF6" w:rsidR="00175369" w:rsidRPr="00417371" w:rsidRDefault="00175369">
      <w:pPr>
        <w:rPr>
          <w:rFonts w:ascii="Arial" w:hAnsi="Arial" w:cs="Arial"/>
        </w:rPr>
      </w:pPr>
    </w:p>
    <w:p w14:paraId="612C17FF" w14:textId="77777777" w:rsidR="00175369" w:rsidRPr="00417371" w:rsidRDefault="00175369">
      <w:pPr>
        <w:rPr>
          <w:rFonts w:ascii="Arial" w:hAnsi="Arial" w:cs="Arial"/>
        </w:rPr>
      </w:pPr>
    </w:p>
    <w:tbl>
      <w:tblPr>
        <w:tblStyle w:val="TableGrid"/>
        <w:tblW w:w="0" w:type="auto"/>
        <w:tblLook w:val="04A0" w:firstRow="1" w:lastRow="0" w:firstColumn="1" w:lastColumn="0" w:noHBand="0" w:noVBand="1"/>
      </w:tblPr>
      <w:tblGrid>
        <w:gridCol w:w="2716"/>
        <w:gridCol w:w="7020"/>
      </w:tblGrid>
      <w:tr w:rsidR="00510B4C" w:rsidRPr="00417371" w14:paraId="2ACA960B" w14:textId="77777777" w:rsidTr="00DA4161">
        <w:trPr>
          <w:trHeight w:val="289"/>
        </w:trPr>
        <w:tc>
          <w:tcPr>
            <w:tcW w:w="2802" w:type="dxa"/>
            <w:vAlign w:val="center"/>
          </w:tcPr>
          <w:p w14:paraId="36D46A11" w14:textId="77777777" w:rsidR="00510B4C" w:rsidRPr="00417371" w:rsidRDefault="00510B4C" w:rsidP="00DA4161">
            <w:pPr>
              <w:rPr>
                <w:rFonts w:ascii="Arial" w:hAnsi="Arial" w:cs="Arial"/>
                <w:b/>
              </w:rPr>
            </w:pPr>
            <w:r w:rsidRPr="00417371">
              <w:rPr>
                <w:rFonts w:ascii="Arial" w:hAnsi="Arial" w:cs="Arial"/>
                <w:b/>
              </w:rPr>
              <w:t>Document owner</w:t>
            </w:r>
          </w:p>
        </w:tc>
        <w:tc>
          <w:tcPr>
            <w:tcW w:w="7371" w:type="dxa"/>
            <w:vAlign w:val="center"/>
          </w:tcPr>
          <w:p w14:paraId="0DF5D3CA" w14:textId="77777777" w:rsidR="00510B4C" w:rsidRPr="00417371" w:rsidRDefault="00510B4C" w:rsidP="00DA4161">
            <w:pPr>
              <w:rPr>
                <w:rFonts w:ascii="Arial" w:hAnsi="Arial" w:cs="Arial"/>
              </w:rPr>
            </w:pPr>
            <w:r w:rsidRPr="00417371">
              <w:rPr>
                <w:rFonts w:ascii="Arial" w:hAnsi="Arial" w:cs="Arial"/>
              </w:rPr>
              <w:t>Quality and Academic Development</w:t>
            </w:r>
          </w:p>
        </w:tc>
      </w:tr>
      <w:tr w:rsidR="00510B4C" w:rsidRPr="00417371" w14:paraId="5B4D3055" w14:textId="77777777" w:rsidTr="00DA4161">
        <w:trPr>
          <w:trHeight w:val="289"/>
        </w:trPr>
        <w:tc>
          <w:tcPr>
            <w:tcW w:w="2802" w:type="dxa"/>
            <w:vAlign w:val="center"/>
          </w:tcPr>
          <w:p w14:paraId="38EAFD89" w14:textId="77777777" w:rsidR="00510B4C" w:rsidRPr="00417371" w:rsidRDefault="00510B4C" w:rsidP="00DA4161">
            <w:pPr>
              <w:rPr>
                <w:rFonts w:ascii="Arial" w:hAnsi="Arial" w:cs="Arial"/>
                <w:b/>
              </w:rPr>
            </w:pPr>
            <w:r w:rsidRPr="00417371">
              <w:rPr>
                <w:rFonts w:ascii="Arial" w:hAnsi="Arial" w:cs="Arial"/>
                <w:b/>
              </w:rPr>
              <w:t>Document author</w:t>
            </w:r>
          </w:p>
        </w:tc>
        <w:tc>
          <w:tcPr>
            <w:tcW w:w="7371" w:type="dxa"/>
            <w:vAlign w:val="center"/>
          </w:tcPr>
          <w:p w14:paraId="2A0D4CEF" w14:textId="6A360E26" w:rsidR="00510B4C" w:rsidRPr="00417371" w:rsidRDefault="00A27E18" w:rsidP="00DA4161">
            <w:pPr>
              <w:rPr>
                <w:rFonts w:ascii="Arial" w:hAnsi="Arial" w:cs="Arial"/>
              </w:rPr>
            </w:pPr>
            <w:r w:rsidRPr="00417371">
              <w:rPr>
                <w:rFonts w:ascii="Arial" w:hAnsi="Arial" w:cs="Arial"/>
              </w:rPr>
              <w:t>Quality and Academic Development</w:t>
            </w:r>
          </w:p>
        </w:tc>
      </w:tr>
      <w:tr w:rsidR="00510B4C" w:rsidRPr="00417371" w14:paraId="5D2D107F" w14:textId="77777777" w:rsidTr="00DA4161">
        <w:trPr>
          <w:trHeight w:val="289"/>
        </w:trPr>
        <w:tc>
          <w:tcPr>
            <w:tcW w:w="2802" w:type="dxa"/>
            <w:vAlign w:val="center"/>
          </w:tcPr>
          <w:p w14:paraId="3B441FF8" w14:textId="77777777" w:rsidR="00510B4C" w:rsidRPr="00417371" w:rsidRDefault="00510B4C" w:rsidP="00DA4161">
            <w:pPr>
              <w:rPr>
                <w:rFonts w:ascii="Arial" w:hAnsi="Arial" w:cs="Arial"/>
                <w:b/>
              </w:rPr>
            </w:pPr>
            <w:r w:rsidRPr="00417371">
              <w:rPr>
                <w:rFonts w:ascii="Arial" w:hAnsi="Arial" w:cs="Arial"/>
                <w:b/>
              </w:rPr>
              <w:t>Document last reviewed by</w:t>
            </w:r>
          </w:p>
        </w:tc>
        <w:tc>
          <w:tcPr>
            <w:tcW w:w="7371" w:type="dxa"/>
            <w:vAlign w:val="center"/>
          </w:tcPr>
          <w:p w14:paraId="3F8B46EF" w14:textId="2063D362" w:rsidR="00CC366B" w:rsidRPr="00417371" w:rsidRDefault="007A31FA" w:rsidP="00DA4161">
            <w:pPr>
              <w:rPr>
                <w:rFonts w:ascii="Arial" w:hAnsi="Arial" w:cs="Arial"/>
              </w:rPr>
            </w:pPr>
            <w:r>
              <w:rPr>
                <w:rFonts w:ascii="Arial" w:hAnsi="Arial" w:cs="Arial"/>
              </w:rPr>
              <w:t>Aminah Suhail, Quality and Academic Development Manager</w:t>
            </w:r>
          </w:p>
        </w:tc>
      </w:tr>
      <w:tr w:rsidR="00510B4C" w:rsidRPr="00417371" w14:paraId="47F360D2" w14:textId="77777777" w:rsidTr="00DA4161">
        <w:trPr>
          <w:trHeight w:val="289"/>
        </w:trPr>
        <w:tc>
          <w:tcPr>
            <w:tcW w:w="2802" w:type="dxa"/>
            <w:vAlign w:val="center"/>
          </w:tcPr>
          <w:p w14:paraId="24DEB187" w14:textId="77777777" w:rsidR="00510B4C" w:rsidRPr="00417371" w:rsidRDefault="00510B4C" w:rsidP="00DA4161">
            <w:pPr>
              <w:rPr>
                <w:rFonts w:ascii="Arial" w:hAnsi="Arial" w:cs="Arial"/>
                <w:b/>
              </w:rPr>
            </w:pPr>
            <w:r w:rsidRPr="00417371">
              <w:rPr>
                <w:rFonts w:ascii="Arial" w:hAnsi="Arial" w:cs="Arial"/>
                <w:b/>
              </w:rPr>
              <w:t>Date last reviewed</w:t>
            </w:r>
          </w:p>
        </w:tc>
        <w:tc>
          <w:tcPr>
            <w:tcW w:w="7371" w:type="dxa"/>
            <w:vAlign w:val="center"/>
          </w:tcPr>
          <w:p w14:paraId="0E4D5645" w14:textId="7A096A3F" w:rsidR="00510B4C" w:rsidRPr="00417371" w:rsidRDefault="00145A7F" w:rsidP="00DA4161">
            <w:pPr>
              <w:rPr>
                <w:rFonts w:ascii="Arial" w:hAnsi="Arial" w:cs="Arial"/>
              </w:rPr>
            </w:pPr>
            <w:r>
              <w:rPr>
                <w:rFonts w:ascii="Arial" w:hAnsi="Arial" w:cs="Arial"/>
              </w:rPr>
              <w:t>August 2024</w:t>
            </w:r>
          </w:p>
        </w:tc>
      </w:tr>
      <w:tr w:rsidR="00510B4C" w:rsidRPr="00417371" w14:paraId="49C0C003" w14:textId="77777777" w:rsidTr="00DA4161">
        <w:trPr>
          <w:trHeight w:val="289"/>
        </w:trPr>
        <w:tc>
          <w:tcPr>
            <w:tcW w:w="2802" w:type="dxa"/>
            <w:vAlign w:val="center"/>
          </w:tcPr>
          <w:p w14:paraId="5ED62444" w14:textId="77777777" w:rsidR="00510B4C" w:rsidRPr="00417371" w:rsidRDefault="00510B4C" w:rsidP="00DA4161">
            <w:pPr>
              <w:rPr>
                <w:rFonts w:ascii="Arial" w:hAnsi="Arial" w:cs="Arial"/>
                <w:b/>
              </w:rPr>
            </w:pPr>
            <w:r w:rsidRPr="00417371">
              <w:rPr>
                <w:rFonts w:ascii="Arial" w:hAnsi="Arial" w:cs="Arial"/>
                <w:b/>
              </w:rPr>
              <w:t>Review frequency</w:t>
            </w:r>
          </w:p>
        </w:tc>
        <w:tc>
          <w:tcPr>
            <w:tcW w:w="7371" w:type="dxa"/>
            <w:vAlign w:val="center"/>
          </w:tcPr>
          <w:p w14:paraId="583A2596" w14:textId="77777777" w:rsidR="00510B4C" w:rsidRPr="00417371" w:rsidRDefault="00510B4C" w:rsidP="00DA4161">
            <w:pPr>
              <w:rPr>
                <w:rFonts w:ascii="Arial" w:hAnsi="Arial" w:cs="Arial"/>
              </w:rPr>
            </w:pPr>
            <w:r w:rsidRPr="00417371">
              <w:rPr>
                <w:rFonts w:ascii="Arial" w:hAnsi="Arial" w:cs="Arial"/>
              </w:rPr>
              <w:t>Annually</w:t>
            </w:r>
          </w:p>
        </w:tc>
      </w:tr>
    </w:tbl>
    <w:p w14:paraId="029308BD" w14:textId="77777777" w:rsidR="00DF2AA6" w:rsidRPr="001A16DC" w:rsidRDefault="00DF2AA6" w:rsidP="000F2C97">
      <w:pPr>
        <w:rPr>
          <w:rFonts w:ascii="Arial" w:hAnsi="Arial" w:cs="Arial"/>
          <w:sz w:val="22"/>
          <w:szCs w:val="22"/>
        </w:rPr>
      </w:pPr>
    </w:p>
    <w:sectPr w:rsidR="00DF2AA6" w:rsidRPr="001A16DC" w:rsidSect="00AC5D73">
      <w:headerReference w:type="even" r:id="rId39"/>
      <w:headerReference w:type="default" r:id="rId40"/>
      <w:footerReference w:type="even" r:id="rId41"/>
      <w:footerReference w:type="default" r:id="rId42"/>
      <w:headerReference w:type="first" r:id="rId43"/>
      <w:footerReference w:type="first" r:id="rId44"/>
      <w:pgSz w:w="11906" w:h="16838"/>
      <w:pgMar w:top="1134" w:right="1080" w:bottom="567" w:left="1080" w:header="709" w:footer="406"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E4E4" w14:textId="77777777" w:rsidR="00D77102" w:rsidRDefault="00D77102" w:rsidP="004062FA">
      <w:r>
        <w:separator/>
      </w:r>
    </w:p>
  </w:endnote>
  <w:endnote w:type="continuationSeparator" w:id="0">
    <w:p w14:paraId="36F28B5D" w14:textId="77777777" w:rsidR="00D77102" w:rsidRDefault="00D77102" w:rsidP="0040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02D" w14:textId="77777777" w:rsidR="00303A3D" w:rsidRDefault="00F20657" w:rsidP="00D02933">
    <w:pPr>
      <w:pStyle w:val="Footer"/>
      <w:framePr w:wrap="around" w:vAnchor="text" w:hAnchor="margin" w:xAlign="right" w:y="1"/>
      <w:rPr>
        <w:rStyle w:val="PageNumber"/>
      </w:rPr>
    </w:pPr>
    <w:r>
      <w:rPr>
        <w:rStyle w:val="PageNumber"/>
      </w:rPr>
      <w:fldChar w:fldCharType="begin"/>
    </w:r>
    <w:r w:rsidR="00303A3D">
      <w:rPr>
        <w:rStyle w:val="PageNumber"/>
      </w:rPr>
      <w:instrText xml:space="preserve">PAGE  </w:instrText>
    </w:r>
    <w:r>
      <w:rPr>
        <w:rStyle w:val="PageNumber"/>
      </w:rPr>
      <w:fldChar w:fldCharType="end"/>
    </w:r>
  </w:p>
  <w:p w14:paraId="693F87BC" w14:textId="77777777" w:rsidR="00303A3D" w:rsidRDefault="00303A3D" w:rsidP="00D029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09320"/>
      <w:docPartObj>
        <w:docPartGallery w:val="Page Numbers (Bottom of Page)"/>
        <w:docPartUnique/>
      </w:docPartObj>
    </w:sdtPr>
    <w:sdtEndPr>
      <w:rPr>
        <w:rFonts w:ascii="Arial" w:hAnsi="Arial" w:cs="Arial"/>
        <w:noProof/>
        <w:sz w:val="22"/>
        <w:szCs w:val="22"/>
      </w:rPr>
    </w:sdtEndPr>
    <w:sdtContent>
      <w:p w14:paraId="566B6F37" w14:textId="7C18D3C8" w:rsidR="00303A3D" w:rsidRPr="003473BB" w:rsidRDefault="003473BB" w:rsidP="003473BB">
        <w:pPr>
          <w:pStyle w:val="Footer"/>
          <w:jc w:val="center"/>
          <w:rPr>
            <w:rFonts w:ascii="Arial" w:hAnsi="Arial" w:cs="Arial"/>
            <w:sz w:val="22"/>
            <w:szCs w:val="22"/>
          </w:rPr>
        </w:pPr>
        <w:r w:rsidRPr="003473BB">
          <w:rPr>
            <w:rFonts w:ascii="Arial" w:hAnsi="Arial" w:cs="Arial"/>
            <w:sz w:val="22"/>
            <w:szCs w:val="22"/>
          </w:rPr>
          <w:fldChar w:fldCharType="begin"/>
        </w:r>
        <w:r w:rsidRPr="003473BB">
          <w:rPr>
            <w:rFonts w:ascii="Arial" w:hAnsi="Arial" w:cs="Arial"/>
            <w:sz w:val="22"/>
            <w:szCs w:val="22"/>
          </w:rPr>
          <w:instrText xml:space="preserve"> PAGE  \* Arabic  \* MERGEFORMAT </w:instrText>
        </w:r>
        <w:r w:rsidRPr="003473BB">
          <w:rPr>
            <w:rFonts w:ascii="Arial" w:hAnsi="Arial" w:cs="Arial"/>
            <w:sz w:val="22"/>
            <w:szCs w:val="22"/>
          </w:rPr>
          <w:fldChar w:fldCharType="separate"/>
        </w:r>
        <w:r w:rsidRPr="003473BB">
          <w:rPr>
            <w:rFonts w:ascii="Arial" w:hAnsi="Arial" w:cs="Arial"/>
            <w:noProof/>
            <w:sz w:val="22"/>
            <w:szCs w:val="22"/>
          </w:rPr>
          <w:t>2</w:t>
        </w:r>
        <w:r w:rsidRPr="003473BB">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2402" w14:textId="44748146" w:rsidR="003473BB" w:rsidRPr="003473BB" w:rsidRDefault="003473BB" w:rsidP="003473BB">
    <w:pPr>
      <w:pStyle w:val="Footer"/>
      <w:jc w:val="center"/>
      <w:rPr>
        <w:rFonts w:ascii="Arial" w:hAnsi="Arial" w:cs="Arial"/>
        <w:sz w:val="22"/>
        <w:szCs w:val="22"/>
      </w:rPr>
    </w:pPr>
    <w:r w:rsidRPr="003473BB">
      <w:rPr>
        <w:rFonts w:ascii="Arial" w:hAnsi="Arial" w:cs="Arial"/>
        <w:sz w:val="22"/>
        <w:szCs w:val="22"/>
      </w:rPr>
      <w:fldChar w:fldCharType="begin"/>
    </w:r>
    <w:r w:rsidRPr="003473BB">
      <w:rPr>
        <w:rFonts w:ascii="Arial" w:hAnsi="Arial" w:cs="Arial"/>
        <w:sz w:val="22"/>
        <w:szCs w:val="22"/>
      </w:rPr>
      <w:instrText xml:space="preserve"> PAGE  \* Arabic  \* MERGEFORMAT </w:instrText>
    </w:r>
    <w:r w:rsidRPr="003473BB">
      <w:rPr>
        <w:rFonts w:ascii="Arial" w:hAnsi="Arial" w:cs="Arial"/>
        <w:sz w:val="22"/>
        <w:szCs w:val="22"/>
      </w:rPr>
      <w:fldChar w:fldCharType="separate"/>
    </w:r>
    <w:r w:rsidRPr="003473BB">
      <w:rPr>
        <w:rFonts w:ascii="Arial" w:hAnsi="Arial" w:cs="Arial"/>
        <w:noProof/>
        <w:sz w:val="22"/>
        <w:szCs w:val="22"/>
      </w:rPr>
      <w:t>4</w:t>
    </w:r>
    <w:r w:rsidRPr="003473BB">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096F" w14:textId="77777777" w:rsidR="00D77102" w:rsidRDefault="00D77102" w:rsidP="004062FA">
      <w:r>
        <w:separator/>
      </w:r>
    </w:p>
  </w:footnote>
  <w:footnote w:type="continuationSeparator" w:id="0">
    <w:p w14:paraId="721ED661" w14:textId="77777777" w:rsidR="00D77102" w:rsidRDefault="00D77102" w:rsidP="0040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A9AF" w14:textId="77777777" w:rsidR="00303A3D" w:rsidRDefault="00F20657" w:rsidP="00A03056">
    <w:pPr>
      <w:pStyle w:val="Header"/>
      <w:framePr w:wrap="around" w:vAnchor="text" w:hAnchor="margin" w:xAlign="right" w:y="1"/>
      <w:rPr>
        <w:rStyle w:val="PageNumber"/>
      </w:rPr>
    </w:pPr>
    <w:r>
      <w:rPr>
        <w:rStyle w:val="PageNumber"/>
      </w:rPr>
      <w:fldChar w:fldCharType="begin"/>
    </w:r>
    <w:r w:rsidR="00303A3D">
      <w:rPr>
        <w:rStyle w:val="PageNumber"/>
      </w:rPr>
      <w:instrText xml:space="preserve">PAGE  </w:instrText>
    </w:r>
    <w:r>
      <w:rPr>
        <w:rStyle w:val="PageNumber"/>
      </w:rPr>
      <w:fldChar w:fldCharType="end"/>
    </w:r>
  </w:p>
  <w:p w14:paraId="401A6994" w14:textId="77777777" w:rsidR="00303A3D" w:rsidRDefault="00303A3D" w:rsidP="00A030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73C0" w14:textId="77777777" w:rsidR="00303A3D" w:rsidRPr="00EC2494" w:rsidRDefault="00303A3D" w:rsidP="00A03056">
    <w:pPr>
      <w:pStyle w:val="Header"/>
      <w:tabs>
        <w:tab w:val="left" w:pos="9330"/>
      </w:tabs>
      <w:ind w:right="360"/>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C1AD" w14:textId="77777777" w:rsidR="001F38C8" w:rsidRDefault="001F38C8">
    <w:pPr>
      <w:pStyle w:val="Header"/>
    </w:pPr>
    <w:r w:rsidRPr="001F38C8">
      <w:rPr>
        <w:noProof/>
      </w:rPr>
      <w:drawing>
        <wp:anchor distT="0" distB="0" distL="114300" distR="114300" simplePos="0" relativeHeight="251658240" behindDoc="1" locked="0" layoutInCell="1" allowOverlap="1" wp14:anchorId="0B1585B3" wp14:editId="5C067EA9">
          <wp:simplePos x="0" y="0"/>
          <wp:positionH relativeFrom="column">
            <wp:posOffset>-590550</wp:posOffset>
          </wp:positionH>
          <wp:positionV relativeFrom="paragraph">
            <wp:posOffset>-345440</wp:posOffset>
          </wp:positionV>
          <wp:extent cx="1479600" cy="540000"/>
          <wp:effectExtent l="0" t="0" r="6350" b="0"/>
          <wp:wrapNone/>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a:picLocks noChangeAspect="1"/>
                  </pic:cNvPicPr>
                </pic:nvPicPr>
                <pic:blipFill>
                  <a:blip r:embed="rId1" cstate="email">
                    <a:extLst>
                      <a:ext uri="{28A0092B-C50C-407E-A947-70E740481C1C}">
                        <a14:useLocalDpi xmlns:a14="http://schemas.microsoft.com/office/drawing/2010/main" val="0"/>
                      </a:ext>
                    </a:extLst>
                  </a:blip>
                  <a:stretch>
                    <a:fillRect/>
                  </a:stretch>
                </pic:blipFill>
                <pic:spPr>
                  <a:xfrm>
                    <a:off x="0" y="0"/>
                    <a:ext cx="1479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353"/>
    <w:multiLevelType w:val="hybridMultilevel"/>
    <w:tmpl w:val="51FECDAE"/>
    <w:lvl w:ilvl="0" w:tplc="04090001">
      <w:start w:val="1"/>
      <w:numFmt w:val="bullet"/>
      <w:lvlText w:val=""/>
      <w:lvlJc w:val="left"/>
      <w:pPr>
        <w:tabs>
          <w:tab w:val="num" w:pos="720"/>
        </w:tabs>
        <w:ind w:left="720" w:hanging="360"/>
      </w:pPr>
      <w:rPr>
        <w:rFonts w:ascii="Symbol" w:hAnsi="Symbol" w:hint="default"/>
      </w:rPr>
    </w:lvl>
    <w:lvl w:ilvl="1" w:tplc="440E50A8">
      <w:numFmt w:val="bullet"/>
      <w:lvlText w:val="-"/>
      <w:lvlJc w:val="left"/>
      <w:pPr>
        <w:tabs>
          <w:tab w:val="num" w:pos="1440"/>
        </w:tabs>
        <w:ind w:left="1440" w:hanging="360"/>
      </w:pPr>
      <w:rPr>
        <w:rFonts w:ascii="Times New Roman" w:eastAsia="Times New Roman" w:hAnsi="Times New Roman" w:cs="Times New Roman" w:hint="default"/>
        <w:color w:val="00000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A74E6"/>
    <w:multiLevelType w:val="multilevel"/>
    <w:tmpl w:val="DD0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E0340"/>
    <w:multiLevelType w:val="multilevel"/>
    <w:tmpl w:val="B8065D5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77E89"/>
    <w:multiLevelType w:val="hybridMultilevel"/>
    <w:tmpl w:val="E5A47A10"/>
    <w:lvl w:ilvl="0" w:tplc="08090001">
      <w:start w:val="1"/>
      <w:numFmt w:val="bullet"/>
      <w:lvlText w:val=""/>
      <w:lvlJc w:val="left"/>
      <w:pPr>
        <w:tabs>
          <w:tab w:val="num" w:pos="360"/>
        </w:tabs>
        <w:ind w:left="360" w:hanging="360"/>
      </w:pPr>
      <w:rPr>
        <w:rFonts w:ascii="Symbol" w:hAnsi="Symbol" w:hint="default"/>
      </w:rPr>
    </w:lvl>
    <w:lvl w:ilvl="1" w:tplc="440E50A8">
      <w:numFmt w:val="bullet"/>
      <w:lvlText w:val="-"/>
      <w:lvlJc w:val="left"/>
      <w:pPr>
        <w:tabs>
          <w:tab w:val="num" w:pos="1425"/>
        </w:tabs>
        <w:ind w:left="1425" w:hanging="705"/>
      </w:pPr>
      <w:rPr>
        <w:rFonts w:ascii="Times New Roman" w:eastAsia="Times New Roman" w:hAnsi="Times New Roman" w:cs="Times New Roman"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AB6EF0"/>
    <w:multiLevelType w:val="hybridMultilevel"/>
    <w:tmpl w:val="255A6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AA67EF"/>
    <w:multiLevelType w:val="hybridMultilevel"/>
    <w:tmpl w:val="29564A68"/>
    <w:lvl w:ilvl="0" w:tplc="CD9ED7E4">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18699D"/>
    <w:multiLevelType w:val="hybridMultilevel"/>
    <w:tmpl w:val="F3C20E76"/>
    <w:lvl w:ilvl="0" w:tplc="0124434C">
      <w:start w:val="1"/>
      <w:numFmt w:val="bullet"/>
      <w:lvlText w:val=""/>
      <w:lvlJc w:val="left"/>
      <w:pPr>
        <w:tabs>
          <w:tab w:val="num" w:pos="1134"/>
        </w:tabs>
        <w:ind w:left="1134" w:hanging="4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52749D"/>
    <w:multiLevelType w:val="hybridMultilevel"/>
    <w:tmpl w:val="E2265F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08652E5E"/>
    <w:multiLevelType w:val="multilevel"/>
    <w:tmpl w:val="08B2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F557C"/>
    <w:multiLevelType w:val="multilevel"/>
    <w:tmpl w:val="89C85F4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9E6C3C"/>
    <w:multiLevelType w:val="hybridMultilevel"/>
    <w:tmpl w:val="26DE937A"/>
    <w:lvl w:ilvl="0" w:tplc="04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00000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682C7E"/>
    <w:multiLevelType w:val="multilevel"/>
    <w:tmpl w:val="2716EDD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F7412A"/>
    <w:multiLevelType w:val="hybridMultilevel"/>
    <w:tmpl w:val="F33CDDC0"/>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1B22124C"/>
    <w:multiLevelType w:val="hybridMultilevel"/>
    <w:tmpl w:val="4508A056"/>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4" w15:restartNumberingAfterBreak="0">
    <w:nsid w:val="1B9B47C7"/>
    <w:multiLevelType w:val="multilevel"/>
    <w:tmpl w:val="B38A4BD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F588F"/>
    <w:multiLevelType w:val="multilevel"/>
    <w:tmpl w:val="4CFA8FD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3C4C41"/>
    <w:multiLevelType w:val="hybridMultilevel"/>
    <w:tmpl w:val="255A68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E57BEE"/>
    <w:multiLevelType w:val="hybridMultilevel"/>
    <w:tmpl w:val="C09A7DD8"/>
    <w:lvl w:ilvl="0" w:tplc="400C6248">
      <w:start w:val="1"/>
      <w:numFmt w:val="bullet"/>
      <w:lvlText w:val=""/>
      <w:lvlJc w:val="left"/>
      <w:pPr>
        <w:ind w:left="360" w:hanging="360"/>
      </w:pPr>
      <w:rPr>
        <w:rFonts w:ascii="Wingdings" w:hAnsi="Wingdings" w:hint="default"/>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3313F6C"/>
    <w:multiLevelType w:val="hybridMultilevel"/>
    <w:tmpl w:val="8804A300"/>
    <w:lvl w:ilvl="0" w:tplc="AFF865E2">
      <w:start w:val="1"/>
      <w:numFmt w:val="bullet"/>
      <w:lvlText w:val=""/>
      <w:lvlJc w:val="left"/>
      <w:pPr>
        <w:ind w:left="205" w:hanging="360"/>
      </w:pPr>
      <w:rPr>
        <w:rFonts w:ascii="Wingdings" w:hAnsi="Wingdings" w:hint="default"/>
        <w:sz w:val="28"/>
        <w:szCs w:val="28"/>
      </w:rPr>
    </w:lvl>
    <w:lvl w:ilvl="1" w:tplc="08090003" w:tentative="1">
      <w:start w:val="1"/>
      <w:numFmt w:val="bullet"/>
      <w:lvlText w:val="o"/>
      <w:lvlJc w:val="left"/>
      <w:pPr>
        <w:ind w:left="925" w:hanging="360"/>
      </w:pPr>
      <w:rPr>
        <w:rFonts w:ascii="Courier New" w:hAnsi="Courier New" w:cs="Courier New" w:hint="default"/>
      </w:rPr>
    </w:lvl>
    <w:lvl w:ilvl="2" w:tplc="08090005" w:tentative="1">
      <w:start w:val="1"/>
      <w:numFmt w:val="bullet"/>
      <w:lvlText w:val=""/>
      <w:lvlJc w:val="left"/>
      <w:pPr>
        <w:ind w:left="1645" w:hanging="360"/>
      </w:pPr>
      <w:rPr>
        <w:rFonts w:ascii="Wingdings" w:hAnsi="Wingdings" w:hint="default"/>
      </w:rPr>
    </w:lvl>
    <w:lvl w:ilvl="3" w:tplc="08090001" w:tentative="1">
      <w:start w:val="1"/>
      <w:numFmt w:val="bullet"/>
      <w:lvlText w:val=""/>
      <w:lvlJc w:val="left"/>
      <w:pPr>
        <w:ind w:left="2365" w:hanging="360"/>
      </w:pPr>
      <w:rPr>
        <w:rFonts w:ascii="Symbol" w:hAnsi="Symbol" w:hint="default"/>
      </w:rPr>
    </w:lvl>
    <w:lvl w:ilvl="4" w:tplc="08090003" w:tentative="1">
      <w:start w:val="1"/>
      <w:numFmt w:val="bullet"/>
      <w:lvlText w:val="o"/>
      <w:lvlJc w:val="left"/>
      <w:pPr>
        <w:ind w:left="3085" w:hanging="360"/>
      </w:pPr>
      <w:rPr>
        <w:rFonts w:ascii="Courier New" w:hAnsi="Courier New" w:cs="Courier New" w:hint="default"/>
      </w:rPr>
    </w:lvl>
    <w:lvl w:ilvl="5" w:tplc="08090005" w:tentative="1">
      <w:start w:val="1"/>
      <w:numFmt w:val="bullet"/>
      <w:lvlText w:val=""/>
      <w:lvlJc w:val="left"/>
      <w:pPr>
        <w:ind w:left="3805" w:hanging="360"/>
      </w:pPr>
      <w:rPr>
        <w:rFonts w:ascii="Wingdings" w:hAnsi="Wingdings" w:hint="default"/>
      </w:rPr>
    </w:lvl>
    <w:lvl w:ilvl="6" w:tplc="08090001" w:tentative="1">
      <w:start w:val="1"/>
      <w:numFmt w:val="bullet"/>
      <w:lvlText w:val=""/>
      <w:lvlJc w:val="left"/>
      <w:pPr>
        <w:ind w:left="4525" w:hanging="360"/>
      </w:pPr>
      <w:rPr>
        <w:rFonts w:ascii="Symbol" w:hAnsi="Symbol" w:hint="default"/>
      </w:rPr>
    </w:lvl>
    <w:lvl w:ilvl="7" w:tplc="08090003" w:tentative="1">
      <w:start w:val="1"/>
      <w:numFmt w:val="bullet"/>
      <w:lvlText w:val="o"/>
      <w:lvlJc w:val="left"/>
      <w:pPr>
        <w:ind w:left="5245" w:hanging="360"/>
      </w:pPr>
      <w:rPr>
        <w:rFonts w:ascii="Courier New" w:hAnsi="Courier New" w:cs="Courier New" w:hint="default"/>
      </w:rPr>
    </w:lvl>
    <w:lvl w:ilvl="8" w:tplc="08090005" w:tentative="1">
      <w:start w:val="1"/>
      <w:numFmt w:val="bullet"/>
      <w:lvlText w:val=""/>
      <w:lvlJc w:val="left"/>
      <w:pPr>
        <w:ind w:left="5965" w:hanging="360"/>
      </w:pPr>
      <w:rPr>
        <w:rFonts w:ascii="Wingdings" w:hAnsi="Wingdings" w:hint="default"/>
      </w:rPr>
    </w:lvl>
  </w:abstractNum>
  <w:abstractNum w:abstractNumId="19" w15:restartNumberingAfterBreak="0">
    <w:nsid w:val="25101645"/>
    <w:multiLevelType w:val="hybridMultilevel"/>
    <w:tmpl w:val="F4B6A6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91E2A"/>
    <w:multiLevelType w:val="multilevel"/>
    <w:tmpl w:val="BADE789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101D69"/>
    <w:multiLevelType w:val="hybridMultilevel"/>
    <w:tmpl w:val="ECDEAE2C"/>
    <w:lvl w:ilvl="0" w:tplc="08090005">
      <w:start w:val="1"/>
      <w:numFmt w:val="bullet"/>
      <w:lvlText w:val=""/>
      <w:lvlJc w:val="left"/>
      <w:pPr>
        <w:ind w:left="2705" w:hanging="360"/>
      </w:pPr>
      <w:rPr>
        <w:rFonts w:ascii="Wingdings" w:hAnsi="Wingdings"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2" w15:restartNumberingAfterBreak="0">
    <w:nsid w:val="32D84BC6"/>
    <w:multiLevelType w:val="hybridMultilevel"/>
    <w:tmpl w:val="08A28BA4"/>
    <w:lvl w:ilvl="0" w:tplc="9BDE28B2">
      <w:start w:val="1"/>
      <w:numFmt w:val="bullet"/>
      <w:lvlText w:val=""/>
      <w:lvlJc w:val="left"/>
      <w:pPr>
        <w:ind w:left="1320" w:hanging="360"/>
      </w:pPr>
      <w:rPr>
        <w:rFonts w:ascii="Wingdings" w:hAnsi="Wingdings" w:hint="default"/>
        <w:sz w:val="28"/>
        <w:szCs w:val="28"/>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3" w15:restartNumberingAfterBreak="0">
    <w:nsid w:val="33463390"/>
    <w:multiLevelType w:val="hybridMultilevel"/>
    <w:tmpl w:val="D8000CAC"/>
    <w:lvl w:ilvl="0" w:tplc="2EF61240">
      <w:start w:val="1"/>
      <w:numFmt w:val="decimal"/>
      <w:lvlText w:val="A%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3030E7"/>
    <w:multiLevelType w:val="hybridMultilevel"/>
    <w:tmpl w:val="BB0C5156"/>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25" w15:restartNumberingAfterBreak="0">
    <w:nsid w:val="3AFB5E23"/>
    <w:multiLevelType w:val="hybridMultilevel"/>
    <w:tmpl w:val="4E20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46F00"/>
    <w:multiLevelType w:val="hybridMultilevel"/>
    <w:tmpl w:val="68E465C2"/>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15:restartNumberingAfterBreak="0">
    <w:nsid w:val="470D09F8"/>
    <w:multiLevelType w:val="multilevel"/>
    <w:tmpl w:val="4508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400A58"/>
    <w:multiLevelType w:val="multilevel"/>
    <w:tmpl w:val="22486B3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1156B1"/>
    <w:multiLevelType w:val="hybridMultilevel"/>
    <w:tmpl w:val="43207378"/>
    <w:lvl w:ilvl="0" w:tplc="08090001">
      <w:start w:val="17"/>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7677B"/>
    <w:multiLevelType w:val="hybridMultilevel"/>
    <w:tmpl w:val="F578B9D4"/>
    <w:lvl w:ilvl="0" w:tplc="6BB80668">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B735A"/>
    <w:multiLevelType w:val="hybridMultilevel"/>
    <w:tmpl w:val="408CA12A"/>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2A26A0"/>
    <w:multiLevelType w:val="multilevel"/>
    <w:tmpl w:val="EC2609E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1F6EEB"/>
    <w:multiLevelType w:val="multilevel"/>
    <w:tmpl w:val="F5C8A7B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AF0DCB"/>
    <w:multiLevelType w:val="hybridMultilevel"/>
    <w:tmpl w:val="AA6427B2"/>
    <w:lvl w:ilvl="0" w:tplc="0809000F">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5" w15:restartNumberingAfterBreak="0">
    <w:nsid w:val="6C430E4D"/>
    <w:multiLevelType w:val="multilevel"/>
    <w:tmpl w:val="9A34685A"/>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AD7A08"/>
    <w:multiLevelType w:val="multilevel"/>
    <w:tmpl w:val="D550ED1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FF37FE"/>
    <w:multiLevelType w:val="hybridMultilevel"/>
    <w:tmpl w:val="D8E6728C"/>
    <w:lvl w:ilvl="0" w:tplc="0664962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1636B6"/>
    <w:multiLevelType w:val="hybridMultilevel"/>
    <w:tmpl w:val="4BEAC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C61CA"/>
    <w:multiLevelType w:val="multilevel"/>
    <w:tmpl w:val="9830F88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D0EAC"/>
    <w:multiLevelType w:val="multilevel"/>
    <w:tmpl w:val="05FC051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195566"/>
    <w:multiLevelType w:val="hybridMultilevel"/>
    <w:tmpl w:val="E3DAA74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color w:val="00000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E1E4D"/>
    <w:multiLevelType w:val="hybridMultilevel"/>
    <w:tmpl w:val="3D88E488"/>
    <w:lvl w:ilvl="0" w:tplc="B50C301C">
      <w:start w:val="1"/>
      <w:numFmt w:val="lowerLetter"/>
      <w:lvlText w:val="%1."/>
      <w:lvlJc w:val="left"/>
      <w:pPr>
        <w:ind w:left="17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EF2A48"/>
    <w:multiLevelType w:val="multilevel"/>
    <w:tmpl w:val="76AAF49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F46699"/>
    <w:multiLevelType w:val="multilevel"/>
    <w:tmpl w:val="A5204C1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079805">
    <w:abstractNumId w:val="27"/>
  </w:num>
  <w:num w:numId="2" w16cid:durableId="2092971469">
    <w:abstractNumId w:val="6"/>
  </w:num>
  <w:num w:numId="3" w16cid:durableId="1235312872">
    <w:abstractNumId w:val="3"/>
  </w:num>
  <w:num w:numId="4" w16cid:durableId="1401827614">
    <w:abstractNumId w:val="0"/>
  </w:num>
  <w:num w:numId="5" w16cid:durableId="18507737">
    <w:abstractNumId w:val="7"/>
  </w:num>
  <w:num w:numId="6" w16cid:durableId="249050808">
    <w:abstractNumId w:val="34"/>
  </w:num>
  <w:num w:numId="7" w16cid:durableId="1467236896">
    <w:abstractNumId w:val="16"/>
  </w:num>
  <w:num w:numId="8" w16cid:durableId="458499484">
    <w:abstractNumId w:val="4"/>
  </w:num>
  <w:num w:numId="9" w16cid:durableId="1372802285">
    <w:abstractNumId w:val="8"/>
  </w:num>
  <w:num w:numId="10" w16cid:durableId="2074038521">
    <w:abstractNumId w:val="39"/>
  </w:num>
  <w:num w:numId="11" w16cid:durableId="904412043">
    <w:abstractNumId w:val="29"/>
  </w:num>
  <w:num w:numId="12" w16cid:durableId="267004621">
    <w:abstractNumId w:val="13"/>
  </w:num>
  <w:num w:numId="13" w16cid:durableId="1863088125">
    <w:abstractNumId w:val="26"/>
  </w:num>
  <w:num w:numId="14" w16cid:durableId="1393693010">
    <w:abstractNumId w:val="25"/>
  </w:num>
  <w:num w:numId="15" w16cid:durableId="420220557">
    <w:abstractNumId w:val="5"/>
  </w:num>
  <w:num w:numId="16" w16cid:durableId="762802479">
    <w:abstractNumId w:val="30"/>
  </w:num>
  <w:num w:numId="17" w16cid:durableId="1301808446">
    <w:abstractNumId w:val="18"/>
  </w:num>
  <w:num w:numId="18" w16cid:durableId="1243952986">
    <w:abstractNumId w:val="37"/>
  </w:num>
  <w:num w:numId="19" w16cid:durableId="400832962">
    <w:abstractNumId w:val="1"/>
  </w:num>
  <w:num w:numId="20" w16cid:durableId="1130510122">
    <w:abstractNumId w:val="23"/>
  </w:num>
  <w:num w:numId="21" w16cid:durableId="343359885">
    <w:abstractNumId w:val="35"/>
  </w:num>
  <w:num w:numId="22" w16cid:durableId="1555504375">
    <w:abstractNumId w:val="14"/>
  </w:num>
  <w:num w:numId="23" w16cid:durableId="1124615940">
    <w:abstractNumId w:val="31"/>
  </w:num>
  <w:num w:numId="24" w16cid:durableId="1837113633">
    <w:abstractNumId w:val="12"/>
  </w:num>
  <w:num w:numId="25" w16cid:durableId="1177690517">
    <w:abstractNumId w:val="42"/>
  </w:num>
  <w:num w:numId="26" w16cid:durableId="300573744">
    <w:abstractNumId w:val="28"/>
  </w:num>
  <w:num w:numId="27" w16cid:durableId="955795228">
    <w:abstractNumId w:val="2"/>
  </w:num>
  <w:num w:numId="28" w16cid:durableId="511527715">
    <w:abstractNumId w:val="20"/>
  </w:num>
  <w:num w:numId="29" w16cid:durableId="1102190884">
    <w:abstractNumId w:val="41"/>
  </w:num>
  <w:num w:numId="30" w16cid:durableId="1420634004">
    <w:abstractNumId w:val="11"/>
  </w:num>
  <w:num w:numId="31" w16cid:durableId="1216550065">
    <w:abstractNumId w:val="44"/>
  </w:num>
  <w:num w:numId="32" w16cid:durableId="1226720558">
    <w:abstractNumId w:val="40"/>
  </w:num>
  <w:num w:numId="33" w16cid:durableId="445731105">
    <w:abstractNumId w:val="32"/>
  </w:num>
  <w:num w:numId="34" w16cid:durableId="466630761">
    <w:abstractNumId w:val="33"/>
  </w:num>
  <w:num w:numId="35" w16cid:durableId="1501117343">
    <w:abstractNumId w:val="43"/>
  </w:num>
  <w:num w:numId="36" w16cid:durableId="114181486">
    <w:abstractNumId w:val="9"/>
  </w:num>
  <w:num w:numId="37" w16cid:durableId="1729376764">
    <w:abstractNumId w:val="36"/>
  </w:num>
  <w:num w:numId="38" w16cid:durableId="110517108">
    <w:abstractNumId w:val="15"/>
  </w:num>
  <w:num w:numId="39" w16cid:durableId="371266507">
    <w:abstractNumId w:val="24"/>
  </w:num>
  <w:num w:numId="40" w16cid:durableId="26033890">
    <w:abstractNumId w:val="10"/>
  </w:num>
  <w:num w:numId="41" w16cid:durableId="321199515">
    <w:abstractNumId w:val="21"/>
  </w:num>
  <w:num w:numId="42" w16cid:durableId="2047291039">
    <w:abstractNumId w:val="38"/>
  </w:num>
  <w:num w:numId="43" w16cid:durableId="433942151">
    <w:abstractNumId w:val="22"/>
  </w:num>
  <w:num w:numId="44" w16cid:durableId="1981036928">
    <w:abstractNumId w:val="17"/>
  </w:num>
  <w:num w:numId="45" w16cid:durableId="116570207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BE"/>
    <w:rsid w:val="00000F5D"/>
    <w:rsid w:val="000039AC"/>
    <w:rsid w:val="00003E1F"/>
    <w:rsid w:val="0000475C"/>
    <w:rsid w:val="00004BB6"/>
    <w:rsid w:val="00024FEA"/>
    <w:rsid w:val="00036921"/>
    <w:rsid w:val="0004339F"/>
    <w:rsid w:val="0004368B"/>
    <w:rsid w:val="000454F8"/>
    <w:rsid w:val="000503F4"/>
    <w:rsid w:val="00062DC0"/>
    <w:rsid w:val="00065FF0"/>
    <w:rsid w:val="00073A89"/>
    <w:rsid w:val="00080C78"/>
    <w:rsid w:val="00082CE9"/>
    <w:rsid w:val="00085A92"/>
    <w:rsid w:val="00090E36"/>
    <w:rsid w:val="00093318"/>
    <w:rsid w:val="00094C3C"/>
    <w:rsid w:val="0009500C"/>
    <w:rsid w:val="00097FAB"/>
    <w:rsid w:val="000A2C7A"/>
    <w:rsid w:val="000A3BE7"/>
    <w:rsid w:val="000A640B"/>
    <w:rsid w:val="000B1550"/>
    <w:rsid w:val="000B3380"/>
    <w:rsid w:val="000B3E6D"/>
    <w:rsid w:val="000B72DA"/>
    <w:rsid w:val="000C37A8"/>
    <w:rsid w:val="000D04B5"/>
    <w:rsid w:val="000D2BD2"/>
    <w:rsid w:val="000D3F27"/>
    <w:rsid w:val="000D5046"/>
    <w:rsid w:val="000E083F"/>
    <w:rsid w:val="000E4507"/>
    <w:rsid w:val="000E5D8C"/>
    <w:rsid w:val="000F0CD1"/>
    <w:rsid w:val="000F2C97"/>
    <w:rsid w:val="000F461D"/>
    <w:rsid w:val="000F47E4"/>
    <w:rsid w:val="000F59DC"/>
    <w:rsid w:val="000F7695"/>
    <w:rsid w:val="00101BE3"/>
    <w:rsid w:val="0010489D"/>
    <w:rsid w:val="00107C9F"/>
    <w:rsid w:val="00111CC2"/>
    <w:rsid w:val="00114850"/>
    <w:rsid w:val="00116F1D"/>
    <w:rsid w:val="00117AE4"/>
    <w:rsid w:val="00121A9B"/>
    <w:rsid w:val="001306D7"/>
    <w:rsid w:val="001322E6"/>
    <w:rsid w:val="00136971"/>
    <w:rsid w:val="00137606"/>
    <w:rsid w:val="00143A24"/>
    <w:rsid w:val="00145A7F"/>
    <w:rsid w:val="00155A2E"/>
    <w:rsid w:val="00167040"/>
    <w:rsid w:val="00167691"/>
    <w:rsid w:val="00170074"/>
    <w:rsid w:val="001746E5"/>
    <w:rsid w:val="00175369"/>
    <w:rsid w:val="00175A5E"/>
    <w:rsid w:val="001769DE"/>
    <w:rsid w:val="00181814"/>
    <w:rsid w:val="00185C48"/>
    <w:rsid w:val="00187177"/>
    <w:rsid w:val="00190EC7"/>
    <w:rsid w:val="00193000"/>
    <w:rsid w:val="00193670"/>
    <w:rsid w:val="00193BEE"/>
    <w:rsid w:val="00196D46"/>
    <w:rsid w:val="001A16DC"/>
    <w:rsid w:val="001A21F7"/>
    <w:rsid w:val="001A2777"/>
    <w:rsid w:val="001A4A55"/>
    <w:rsid w:val="001A5288"/>
    <w:rsid w:val="001A64A0"/>
    <w:rsid w:val="001B0E8D"/>
    <w:rsid w:val="001B297A"/>
    <w:rsid w:val="001C25D2"/>
    <w:rsid w:val="001C7A17"/>
    <w:rsid w:val="001E1073"/>
    <w:rsid w:val="001E1832"/>
    <w:rsid w:val="001E1AB1"/>
    <w:rsid w:val="001F028C"/>
    <w:rsid w:val="001F2BD6"/>
    <w:rsid w:val="001F38C8"/>
    <w:rsid w:val="00200A67"/>
    <w:rsid w:val="002032E6"/>
    <w:rsid w:val="002115CE"/>
    <w:rsid w:val="0021190B"/>
    <w:rsid w:val="002153D2"/>
    <w:rsid w:val="00227E20"/>
    <w:rsid w:val="00230F33"/>
    <w:rsid w:val="00234E28"/>
    <w:rsid w:val="00235E02"/>
    <w:rsid w:val="002452C0"/>
    <w:rsid w:val="0025042D"/>
    <w:rsid w:val="002510EF"/>
    <w:rsid w:val="002609DF"/>
    <w:rsid w:val="0026336D"/>
    <w:rsid w:val="0026409B"/>
    <w:rsid w:val="00264B09"/>
    <w:rsid w:val="00270FB2"/>
    <w:rsid w:val="00284532"/>
    <w:rsid w:val="00285130"/>
    <w:rsid w:val="00285C1A"/>
    <w:rsid w:val="00287053"/>
    <w:rsid w:val="00294A41"/>
    <w:rsid w:val="0029579B"/>
    <w:rsid w:val="00296498"/>
    <w:rsid w:val="002A01A3"/>
    <w:rsid w:val="002A6F29"/>
    <w:rsid w:val="002B1CBA"/>
    <w:rsid w:val="002B3480"/>
    <w:rsid w:val="002B62F8"/>
    <w:rsid w:val="002B73D0"/>
    <w:rsid w:val="002C07A1"/>
    <w:rsid w:val="002C3650"/>
    <w:rsid w:val="002C47EB"/>
    <w:rsid w:val="002D150A"/>
    <w:rsid w:val="002D451B"/>
    <w:rsid w:val="002D6644"/>
    <w:rsid w:val="002D6C7C"/>
    <w:rsid w:val="002E0C10"/>
    <w:rsid w:val="002E34B3"/>
    <w:rsid w:val="002E3FAA"/>
    <w:rsid w:val="002E6486"/>
    <w:rsid w:val="002E7DAD"/>
    <w:rsid w:val="002F05A6"/>
    <w:rsid w:val="002F0688"/>
    <w:rsid w:val="002F1992"/>
    <w:rsid w:val="002F1BD5"/>
    <w:rsid w:val="002F7C9B"/>
    <w:rsid w:val="00302D39"/>
    <w:rsid w:val="00303A3D"/>
    <w:rsid w:val="003044E5"/>
    <w:rsid w:val="00304C8D"/>
    <w:rsid w:val="00306405"/>
    <w:rsid w:val="00307D96"/>
    <w:rsid w:val="00310D7C"/>
    <w:rsid w:val="00315480"/>
    <w:rsid w:val="00317134"/>
    <w:rsid w:val="003221E8"/>
    <w:rsid w:val="003250BF"/>
    <w:rsid w:val="003258FA"/>
    <w:rsid w:val="00333318"/>
    <w:rsid w:val="003335F3"/>
    <w:rsid w:val="00333F7E"/>
    <w:rsid w:val="0033512E"/>
    <w:rsid w:val="0033549A"/>
    <w:rsid w:val="00335BE1"/>
    <w:rsid w:val="003455EF"/>
    <w:rsid w:val="003466EA"/>
    <w:rsid w:val="003473BB"/>
    <w:rsid w:val="0035176B"/>
    <w:rsid w:val="00357EC7"/>
    <w:rsid w:val="00361FE5"/>
    <w:rsid w:val="003679D5"/>
    <w:rsid w:val="0037065C"/>
    <w:rsid w:val="00373D82"/>
    <w:rsid w:val="00374A42"/>
    <w:rsid w:val="00375E04"/>
    <w:rsid w:val="00377100"/>
    <w:rsid w:val="0039596D"/>
    <w:rsid w:val="003964F5"/>
    <w:rsid w:val="003A1209"/>
    <w:rsid w:val="003A3572"/>
    <w:rsid w:val="003A7D06"/>
    <w:rsid w:val="003B25E7"/>
    <w:rsid w:val="003B3E01"/>
    <w:rsid w:val="003D0D5B"/>
    <w:rsid w:val="003D39BE"/>
    <w:rsid w:val="003D516E"/>
    <w:rsid w:val="003E08AB"/>
    <w:rsid w:val="003E38A4"/>
    <w:rsid w:val="003E7056"/>
    <w:rsid w:val="003F2950"/>
    <w:rsid w:val="003F3810"/>
    <w:rsid w:val="003F4182"/>
    <w:rsid w:val="003F6383"/>
    <w:rsid w:val="00401272"/>
    <w:rsid w:val="004062FA"/>
    <w:rsid w:val="00407EEA"/>
    <w:rsid w:val="004124D4"/>
    <w:rsid w:val="00414358"/>
    <w:rsid w:val="00417371"/>
    <w:rsid w:val="004217D7"/>
    <w:rsid w:val="00426D55"/>
    <w:rsid w:val="004410F7"/>
    <w:rsid w:val="004426A7"/>
    <w:rsid w:val="004516D9"/>
    <w:rsid w:val="00451D42"/>
    <w:rsid w:val="004523F2"/>
    <w:rsid w:val="00461936"/>
    <w:rsid w:val="0046287F"/>
    <w:rsid w:val="00464B5D"/>
    <w:rsid w:val="00470D98"/>
    <w:rsid w:val="00471F41"/>
    <w:rsid w:val="00473F27"/>
    <w:rsid w:val="00481E22"/>
    <w:rsid w:val="004854F9"/>
    <w:rsid w:val="00491D09"/>
    <w:rsid w:val="00494518"/>
    <w:rsid w:val="004A545D"/>
    <w:rsid w:val="004A55E0"/>
    <w:rsid w:val="004B08A7"/>
    <w:rsid w:val="004B1721"/>
    <w:rsid w:val="004C2441"/>
    <w:rsid w:val="004C3C82"/>
    <w:rsid w:val="004D2B86"/>
    <w:rsid w:val="004E2EE2"/>
    <w:rsid w:val="004E33D4"/>
    <w:rsid w:val="004E728E"/>
    <w:rsid w:val="004F03BD"/>
    <w:rsid w:val="004F0D91"/>
    <w:rsid w:val="004F75C0"/>
    <w:rsid w:val="00503B77"/>
    <w:rsid w:val="00505F12"/>
    <w:rsid w:val="00506275"/>
    <w:rsid w:val="00510B4C"/>
    <w:rsid w:val="00514157"/>
    <w:rsid w:val="00522530"/>
    <w:rsid w:val="00532F26"/>
    <w:rsid w:val="00536C64"/>
    <w:rsid w:val="005372CC"/>
    <w:rsid w:val="0053758B"/>
    <w:rsid w:val="0055489D"/>
    <w:rsid w:val="00555744"/>
    <w:rsid w:val="005578D6"/>
    <w:rsid w:val="005616B5"/>
    <w:rsid w:val="00563C4F"/>
    <w:rsid w:val="005643ED"/>
    <w:rsid w:val="0057406D"/>
    <w:rsid w:val="005742FF"/>
    <w:rsid w:val="00574448"/>
    <w:rsid w:val="00583B96"/>
    <w:rsid w:val="005849A5"/>
    <w:rsid w:val="00590393"/>
    <w:rsid w:val="005916BA"/>
    <w:rsid w:val="0059265B"/>
    <w:rsid w:val="00592BA5"/>
    <w:rsid w:val="00593E9B"/>
    <w:rsid w:val="005A2985"/>
    <w:rsid w:val="005A5A84"/>
    <w:rsid w:val="005B6332"/>
    <w:rsid w:val="005B7E61"/>
    <w:rsid w:val="005C3CD1"/>
    <w:rsid w:val="005C6299"/>
    <w:rsid w:val="005C630A"/>
    <w:rsid w:val="005C6684"/>
    <w:rsid w:val="005C7414"/>
    <w:rsid w:val="005C7CC0"/>
    <w:rsid w:val="005D29E2"/>
    <w:rsid w:val="005E2930"/>
    <w:rsid w:val="005E2DEE"/>
    <w:rsid w:val="005E6D34"/>
    <w:rsid w:val="005F0A45"/>
    <w:rsid w:val="005F5D93"/>
    <w:rsid w:val="005F5E18"/>
    <w:rsid w:val="005F7EB0"/>
    <w:rsid w:val="00617E50"/>
    <w:rsid w:val="00624936"/>
    <w:rsid w:val="006254DA"/>
    <w:rsid w:val="006329DD"/>
    <w:rsid w:val="00634CC4"/>
    <w:rsid w:val="00646107"/>
    <w:rsid w:val="0064646B"/>
    <w:rsid w:val="006510E2"/>
    <w:rsid w:val="006521AB"/>
    <w:rsid w:val="0065440E"/>
    <w:rsid w:val="006573EC"/>
    <w:rsid w:val="00661FA3"/>
    <w:rsid w:val="00662B6A"/>
    <w:rsid w:val="00664D55"/>
    <w:rsid w:val="00676803"/>
    <w:rsid w:val="006768AD"/>
    <w:rsid w:val="00677D4E"/>
    <w:rsid w:val="00681824"/>
    <w:rsid w:val="0068251B"/>
    <w:rsid w:val="00686075"/>
    <w:rsid w:val="006934DC"/>
    <w:rsid w:val="006971ED"/>
    <w:rsid w:val="006A2BF6"/>
    <w:rsid w:val="006A6A21"/>
    <w:rsid w:val="006A7424"/>
    <w:rsid w:val="006B035A"/>
    <w:rsid w:val="006B0E06"/>
    <w:rsid w:val="006B26A7"/>
    <w:rsid w:val="006B7345"/>
    <w:rsid w:val="006B7F8B"/>
    <w:rsid w:val="006C04BE"/>
    <w:rsid w:val="006C3999"/>
    <w:rsid w:val="006C5044"/>
    <w:rsid w:val="006C588D"/>
    <w:rsid w:val="006D0290"/>
    <w:rsid w:val="006D0CE3"/>
    <w:rsid w:val="006D1F89"/>
    <w:rsid w:val="006D5233"/>
    <w:rsid w:val="006E0844"/>
    <w:rsid w:val="006E2FE5"/>
    <w:rsid w:val="006F4F08"/>
    <w:rsid w:val="006F6D1B"/>
    <w:rsid w:val="007037A1"/>
    <w:rsid w:val="00707724"/>
    <w:rsid w:val="007103E2"/>
    <w:rsid w:val="00711EE9"/>
    <w:rsid w:val="007132A7"/>
    <w:rsid w:val="007147D5"/>
    <w:rsid w:val="0071538F"/>
    <w:rsid w:val="0072199F"/>
    <w:rsid w:val="00726F46"/>
    <w:rsid w:val="00731530"/>
    <w:rsid w:val="007325E9"/>
    <w:rsid w:val="00736BA9"/>
    <w:rsid w:val="00740926"/>
    <w:rsid w:val="007439C4"/>
    <w:rsid w:val="0075470F"/>
    <w:rsid w:val="00765507"/>
    <w:rsid w:val="007664E4"/>
    <w:rsid w:val="00770823"/>
    <w:rsid w:val="00770C96"/>
    <w:rsid w:val="0077231B"/>
    <w:rsid w:val="00773265"/>
    <w:rsid w:val="00774272"/>
    <w:rsid w:val="00774773"/>
    <w:rsid w:val="00775361"/>
    <w:rsid w:val="007818B7"/>
    <w:rsid w:val="00784902"/>
    <w:rsid w:val="0079279E"/>
    <w:rsid w:val="00795065"/>
    <w:rsid w:val="00795850"/>
    <w:rsid w:val="00796717"/>
    <w:rsid w:val="007A1CD7"/>
    <w:rsid w:val="007A31FA"/>
    <w:rsid w:val="007A4939"/>
    <w:rsid w:val="007A6501"/>
    <w:rsid w:val="007B4178"/>
    <w:rsid w:val="007B5DD1"/>
    <w:rsid w:val="007C4689"/>
    <w:rsid w:val="007C65D1"/>
    <w:rsid w:val="007D0A21"/>
    <w:rsid w:val="007D353E"/>
    <w:rsid w:val="007D4493"/>
    <w:rsid w:val="007E13B4"/>
    <w:rsid w:val="007E16FD"/>
    <w:rsid w:val="007E2296"/>
    <w:rsid w:val="007E3679"/>
    <w:rsid w:val="007E55DA"/>
    <w:rsid w:val="007E5F23"/>
    <w:rsid w:val="007E75F5"/>
    <w:rsid w:val="007F2E72"/>
    <w:rsid w:val="007F694C"/>
    <w:rsid w:val="007F7EB4"/>
    <w:rsid w:val="0080077B"/>
    <w:rsid w:val="008011B1"/>
    <w:rsid w:val="008033D4"/>
    <w:rsid w:val="0081438D"/>
    <w:rsid w:val="00825F34"/>
    <w:rsid w:val="00831604"/>
    <w:rsid w:val="0083496E"/>
    <w:rsid w:val="00843413"/>
    <w:rsid w:val="00843A1D"/>
    <w:rsid w:val="0084681C"/>
    <w:rsid w:val="00847C60"/>
    <w:rsid w:val="00851595"/>
    <w:rsid w:val="00853AFF"/>
    <w:rsid w:val="00856222"/>
    <w:rsid w:val="00861DD4"/>
    <w:rsid w:val="0086343D"/>
    <w:rsid w:val="00865FE6"/>
    <w:rsid w:val="008735CA"/>
    <w:rsid w:val="00876CBD"/>
    <w:rsid w:val="00882757"/>
    <w:rsid w:val="00883A8F"/>
    <w:rsid w:val="00883C66"/>
    <w:rsid w:val="00885B03"/>
    <w:rsid w:val="00886C10"/>
    <w:rsid w:val="00886C30"/>
    <w:rsid w:val="00891E46"/>
    <w:rsid w:val="00894B03"/>
    <w:rsid w:val="008962A6"/>
    <w:rsid w:val="008A0D46"/>
    <w:rsid w:val="008A29C5"/>
    <w:rsid w:val="008A5236"/>
    <w:rsid w:val="008A579E"/>
    <w:rsid w:val="008B121C"/>
    <w:rsid w:val="008B251A"/>
    <w:rsid w:val="008C00CF"/>
    <w:rsid w:val="008C245B"/>
    <w:rsid w:val="008C57A9"/>
    <w:rsid w:val="008D3C7C"/>
    <w:rsid w:val="008D3F1A"/>
    <w:rsid w:val="008E3B7F"/>
    <w:rsid w:val="008E3E09"/>
    <w:rsid w:val="008E51A4"/>
    <w:rsid w:val="008E5247"/>
    <w:rsid w:val="008E5579"/>
    <w:rsid w:val="008E6E28"/>
    <w:rsid w:val="008E7175"/>
    <w:rsid w:val="008F6559"/>
    <w:rsid w:val="0090113E"/>
    <w:rsid w:val="00911677"/>
    <w:rsid w:val="009116E8"/>
    <w:rsid w:val="0091695F"/>
    <w:rsid w:val="009174DA"/>
    <w:rsid w:val="00921BBC"/>
    <w:rsid w:val="00927BFC"/>
    <w:rsid w:val="00931E07"/>
    <w:rsid w:val="00932376"/>
    <w:rsid w:val="00932516"/>
    <w:rsid w:val="009415E6"/>
    <w:rsid w:val="00943A1D"/>
    <w:rsid w:val="009519F6"/>
    <w:rsid w:val="00951B7E"/>
    <w:rsid w:val="00952BD6"/>
    <w:rsid w:val="00953AE6"/>
    <w:rsid w:val="00953F6E"/>
    <w:rsid w:val="00954001"/>
    <w:rsid w:val="00957D8D"/>
    <w:rsid w:val="00960908"/>
    <w:rsid w:val="00963D35"/>
    <w:rsid w:val="009669EB"/>
    <w:rsid w:val="00967363"/>
    <w:rsid w:val="009707BE"/>
    <w:rsid w:val="00972019"/>
    <w:rsid w:val="009725A5"/>
    <w:rsid w:val="00973A35"/>
    <w:rsid w:val="0098259D"/>
    <w:rsid w:val="00987909"/>
    <w:rsid w:val="0099495A"/>
    <w:rsid w:val="009A05D6"/>
    <w:rsid w:val="009A5394"/>
    <w:rsid w:val="009A6D2F"/>
    <w:rsid w:val="009B1C66"/>
    <w:rsid w:val="009B35D7"/>
    <w:rsid w:val="009B65C1"/>
    <w:rsid w:val="009B7A5B"/>
    <w:rsid w:val="009C545A"/>
    <w:rsid w:val="009D13DD"/>
    <w:rsid w:val="009D2B7B"/>
    <w:rsid w:val="009D436E"/>
    <w:rsid w:val="009D451A"/>
    <w:rsid w:val="009E5D83"/>
    <w:rsid w:val="009E701B"/>
    <w:rsid w:val="009F40EF"/>
    <w:rsid w:val="009F7E99"/>
    <w:rsid w:val="00A01C2B"/>
    <w:rsid w:val="00A02FF1"/>
    <w:rsid w:val="00A03056"/>
    <w:rsid w:val="00A03208"/>
    <w:rsid w:val="00A03E62"/>
    <w:rsid w:val="00A0499A"/>
    <w:rsid w:val="00A10809"/>
    <w:rsid w:val="00A14720"/>
    <w:rsid w:val="00A203EB"/>
    <w:rsid w:val="00A22D5D"/>
    <w:rsid w:val="00A27E18"/>
    <w:rsid w:val="00A31977"/>
    <w:rsid w:val="00A34792"/>
    <w:rsid w:val="00A37186"/>
    <w:rsid w:val="00A37732"/>
    <w:rsid w:val="00A37E68"/>
    <w:rsid w:val="00A449CE"/>
    <w:rsid w:val="00A4584C"/>
    <w:rsid w:val="00A46EB4"/>
    <w:rsid w:val="00A5332E"/>
    <w:rsid w:val="00A57B10"/>
    <w:rsid w:val="00A62664"/>
    <w:rsid w:val="00A662E9"/>
    <w:rsid w:val="00A702A8"/>
    <w:rsid w:val="00A70AF1"/>
    <w:rsid w:val="00A75599"/>
    <w:rsid w:val="00A76696"/>
    <w:rsid w:val="00A76A55"/>
    <w:rsid w:val="00A77C45"/>
    <w:rsid w:val="00A80509"/>
    <w:rsid w:val="00A814F0"/>
    <w:rsid w:val="00A94F69"/>
    <w:rsid w:val="00A96D22"/>
    <w:rsid w:val="00AA0033"/>
    <w:rsid w:val="00AA1568"/>
    <w:rsid w:val="00AA1FF2"/>
    <w:rsid w:val="00AA4A25"/>
    <w:rsid w:val="00AA4C9C"/>
    <w:rsid w:val="00AB2A7E"/>
    <w:rsid w:val="00AB4645"/>
    <w:rsid w:val="00AB5041"/>
    <w:rsid w:val="00AB7231"/>
    <w:rsid w:val="00AC1B80"/>
    <w:rsid w:val="00AC5D73"/>
    <w:rsid w:val="00AD2418"/>
    <w:rsid w:val="00AD355E"/>
    <w:rsid w:val="00AD4DE7"/>
    <w:rsid w:val="00AD5FB5"/>
    <w:rsid w:val="00B0545A"/>
    <w:rsid w:val="00B0572C"/>
    <w:rsid w:val="00B05D52"/>
    <w:rsid w:val="00B07A58"/>
    <w:rsid w:val="00B136EA"/>
    <w:rsid w:val="00B15793"/>
    <w:rsid w:val="00B200C7"/>
    <w:rsid w:val="00B20A22"/>
    <w:rsid w:val="00B2412B"/>
    <w:rsid w:val="00B24147"/>
    <w:rsid w:val="00B24B4F"/>
    <w:rsid w:val="00B32BEF"/>
    <w:rsid w:val="00B37DA8"/>
    <w:rsid w:val="00B40E11"/>
    <w:rsid w:val="00B45F2C"/>
    <w:rsid w:val="00B462C2"/>
    <w:rsid w:val="00B54DBE"/>
    <w:rsid w:val="00B57642"/>
    <w:rsid w:val="00B62D04"/>
    <w:rsid w:val="00B62D3B"/>
    <w:rsid w:val="00B6761F"/>
    <w:rsid w:val="00B714A0"/>
    <w:rsid w:val="00B7267D"/>
    <w:rsid w:val="00B757C3"/>
    <w:rsid w:val="00B77029"/>
    <w:rsid w:val="00B82FB7"/>
    <w:rsid w:val="00B834CC"/>
    <w:rsid w:val="00B84A26"/>
    <w:rsid w:val="00B8731A"/>
    <w:rsid w:val="00B87D5C"/>
    <w:rsid w:val="00B9029A"/>
    <w:rsid w:val="00B917FB"/>
    <w:rsid w:val="00B93EFE"/>
    <w:rsid w:val="00BA1FF2"/>
    <w:rsid w:val="00BA3489"/>
    <w:rsid w:val="00BA3B76"/>
    <w:rsid w:val="00BA61AC"/>
    <w:rsid w:val="00BA74CA"/>
    <w:rsid w:val="00BB1A05"/>
    <w:rsid w:val="00BB4E35"/>
    <w:rsid w:val="00BC41C4"/>
    <w:rsid w:val="00BC4561"/>
    <w:rsid w:val="00BE3DA0"/>
    <w:rsid w:val="00BE4462"/>
    <w:rsid w:val="00C02516"/>
    <w:rsid w:val="00C10CD6"/>
    <w:rsid w:val="00C128B0"/>
    <w:rsid w:val="00C153EA"/>
    <w:rsid w:val="00C16472"/>
    <w:rsid w:val="00C167F8"/>
    <w:rsid w:val="00C2221D"/>
    <w:rsid w:val="00C240BC"/>
    <w:rsid w:val="00C318DF"/>
    <w:rsid w:val="00C31F7A"/>
    <w:rsid w:val="00C346BC"/>
    <w:rsid w:val="00C414AB"/>
    <w:rsid w:val="00C44C4A"/>
    <w:rsid w:val="00C51ACE"/>
    <w:rsid w:val="00C52EE2"/>
    <w:rsid w:val="00C53D7D"/>
    <w:rsid w:val="00C542C9"/>
    <w:rsid w:val="00C566AB"/>
    <w:rsid w:val="00C6637B"/>
    <w:rsid w:val="00C66B7F"/>
    <w:rsid w:val="00C74E56"/>
    <w:rsid w:val="00C82740"/>
    <w:rsid w:val="00C85908"/>
    <w:rsid w:val="00C864C1"/>
    <w:rsid w:val="00C8761A"/>
    <w:rsid w:val="00C9307C"/>
    <w:rsid w:val="00C96709"/>
    <w:rsid w:val="00C97069"/>
    <w:rsid w:val="00CA3F73"/>
    <w:rsid w:val="00CB0B5B"/>
    <w:rsid w:val="00CB27E7"/>
    <w:rsid w:val="00CB285D"/>
    <w:rsid w:val="00CB62C6"/>
    <w:rsid w:val="00CC0159"/>
    <w:rsid w:val="00CC29BF"/>
    <w:rsid w:val="00CC366B"/>
    <w:rsid w:val="00CC3802"/>
    <w:rsid w:val="00CC3B85"/>
    <w:rsid w:val="00CC66A4"/>
    <w:rsid w:val="00CD033C"/>
    <w:rsid w:val="00CD1498"/>
    <w:rsid w:val="00CD2463"/>
    <w:rsid w:val="00CE399F"/>
    <w:rsid w:val="00CF2A9C"/>
    <w:rsid w:val="00CF5993"/>
    <w:rsid w:val="00D0037D"/>
    <w:rsid w:val="00D02933"/>
    <w:rsid w:val="00D039DE"/>
    <w:rsid w:val="00D1170D"/>
    <w:rsid w:val="00D16ED6"/>
    <w:rsid w:val="00D23739"/>
    <w:rsid w:val="00D24F54"/>
    <w:rsid w:val="00D25A61"/>
    <w:rsid w:val="00D31FAB"/>
    <w:rsid w:val="00D37F54"/>
    <w:rsid w:val="00D41B61"/>
    <w:rsid w:val="00D42575"/>
    <w:rsid w:val="00D42BC4"/>
    <w:rsid w:val="00D42FA0"/>
    <w:rsid w:val="00D43410"/>
    <w:rsid w:val="00D45571"/>
    <w:rsid w:val="00D51D95"/>
    <w:rsid w:val="00D63510"/>
    <w:rsid w:val="00D65F8D"/>
    <w:rsid w:val="00D70537"/>
    <w:rsid w:val="00D72918"/>
    <w:rsid w:val="00D73CD7"/>
    <w:rsid w:val="00D754CA"/>
    <w:rsid w:val="00D77102"/>
    <w:rsid w:val="00D817E9"/>
    <w:rsid w:val="00D95848"/>
    <w:rsid w:val="00D973E8"/>
    <w:rsid w:val="00DA016C"/>
    <w:rsid w:val="00DA2967"/>
    <w:rsid w:val="00DA487A"/>
    <w:rsid w:val="00DA5264"/>
    <w:rsid w:val="00DA6246"/>
    <w:rsid w:val="00DB1D7C"/>
    <w:rsid w:val="00DB7D82"/>
    <w:rsid w:val="00DC1C80"/>
    <w:rsid w:val="00DC2C88"/>
    <w:rsid w:val="00DC2DE0"/>
    <w:rsid w:val="00DC56C6"/>
    <w:rsid w:val="00DC62C9"/>
    <w:rsid w:val="00DC6666"/>
    <w:rsid w:val="00DD0BC2"/>
    <w:rsid w:val="00DD3458"/>
    <w:rsid w:val="00DD35E9"/>
    <w:rsid w:val="00DF0808"/>
    <w:rsid w:val="00DF1999"/>
    <w:rsid w:val="00DF2AA6"/>
    <w:rsid w:val="00DF6D76"/>
    <w:rsid w:val="00DF788C"/>
    <w:rsid w:val="00E00695"/>
    <w:rsid w:val="00E01922"/>
    <w:rsid w:val="00E05AC4"/>
    <w:rsid w:val="00E11468"/>
    <w:rsid w:val="00E16DBE"/>
    <w:rsid w:val="00E21E24"/>
    <w:rsid w:val="00E2229D"/>
    <w:rsid w:val="00E249D6"/>
    <w:rsid w:val="00E2673B"/>
    <w:rsid w:val="00E272B6"/>
    <w:rsid w:val="00E34FD7"/>
    <w:rsid w:val="00E35C76"/>
    <w:rsid w:val="00E35F7A"/>
    <w:rsid w:val="00E37BBB"/>
    <w:rsid w:val="00E4033B"/>
    <w:rsid w:val="00E43A95"/>
    <w:rsid w:val="00E451AC"/>
    <w:rsid w:val="00E46B83"/>
    <w:rsid w:val="00E51770"/>
    <w:rsid w:val="00E52B7D"/>
    <w:rsid w:val="00E55671"/>
    <w:rsid w:val="00E6044E"/>
    <w:rsid w:val="00E60794"/>
    <w:rsid w:val="00E7088C"/>
    <w:rsid w:val="00E74045"/>
    <w:rsid w:val="00E74954"/>
    <w:rsid w:val="00E80933"/>
    <w:rsid w:val="00E84399"/>
    <w:rsid w:val="00E84C8C"/>
    <w:rsid w:val="00E8632D"/>
    <w:rsid w:val="00E9733C"/>
    <w:rsid w:val="00EA017F"/>
    <w:rsid w:val="00EA1C03"/>
    <w:rsid w:val="00EA6E0E"/>
    <w:rsid w:val="00EC2494"/>
    <w:rsid w:val="00EC4EC3"/>
    <w:rsid w:val="00EC7BC4"/>
    <w:rsid w:val="00ED0703"/>
    <w:rsid w:val="00ED2FE1"/>
    <w:rsid w:val="00ED47C3"/>
    <w:rsid w:val="00ED686D"/>
    <w:rsid w:val="00EE4BE0"/>
    <w:rsid w:val="00EF2C84"/>
    <w:rsid w:val="00EF417E"/>
    <w:rsid w:val="00EF6164"/>
    <w:rsid w:val="00EF6F9A"/>
    <w:rsid w:val="00F0158D"/>
    <w:rsid w:val="00F04433"/>
    <w:rsid w:val="00F064A3"/>
    <w:rsid w:val="00F1043D"/>
    <w:rsid w:val="00F12452"/>
    <w:rsid w:val="00F127F2"/>
    <w:rsid w:val="00F17BD6"/>
    <w:rsid w:val="00F20657"/>
    <w:rsid w:val="00F229F5"/>
    <w:rsid w:val="00F2377F"/>
    <w:rsid w:val="00F240CB"/>
    <w:rsid w:val="00F270DA"/>
    <w:rsid w:val="00F30145"/>
    <w:rsid w:val="00F30895"/>
    <w:rsid w:val="00F344B3"/>
    <w:rsid w:val="00F43F74"/>
    <w:rsid w:val="00F4669D"/>
    <w:rsid w:val="00F474C1"/>
    <w:rsid w:val="00F50953"/>
    <w:rsid w:val="00F50D3A"/>
    <w:rsid w:val="00F520D2"/>
    <w:rsid w:val="00F52317"/>
    <w:rsid w:val="00F5405C"/>
    <w:rsid w:val="00F61DDB"/>
    <w:rsid w:val="00F63648"/>
    <w:rsid w:val="00F67DB2"/>
    <w:rsid w:val="00F7246F"/>
    <w:rsid w:val="00F76CEC"/>
    <w:rsid w:val="00F76CF4"/>
    <w:rsid w:val="00F818D4"/>
    <w:rsid w:val="00F83A9D"/>
    <w:rsid w:val="00F851E6"/>
    <w:rsid w:val="00F90CE3"/>
    <w:rsid w:val="00F92CB1"/>
    <w:rsid w:val="00F93377"/>
    <w:rsid w:val="00F93E05"/>
    <w:rsid w:val="00FA11C6"/>
    <w:rsid w:val="00FA2CB1"/>
    <w:rsid w:val="00FA2E59"/>
    <w:rsid w:val="00FB25B0"/>
    <w:rsid w:val="00FB5F6E"/>
    <w:rsid w:val="00FC04FC"/>
    <w:rsid w:val="00FC6FDD"/>
    <w:rsid w:val="00FD2211"/>
    <w:rsid w:val="00FD322C"/>
    <w:rsid w:val="00FD40D7"/>
    <w:rsid w:val="00FE56EF"/>
    <w:rsid w:val="00FF0A14"/>
    <w:rsid w:val="00FF550B"/>
    <w:rsid w:val="481EA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0FC0F"/>
  <w15:docId w15:val="{8D6FD663-4129-4FFA-8E91-671536F7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55"/>
    <w:rPr>
      <w:sz w:val="24"/>
      <w:szCs w:val="24"/>
    </w:rPr>
  </w:style>
  <w:style w:type="paragraph" w:styleId="Heading1">
    <w:name w:val="heading 1"/>
    <w:basedOn w:val="Normal"/>
    <w:next w:val="Normal"/>
    <w:link w:val="Heading1Char"/>
    <w:autoRedefine/>
    <w:qFormat/>
    <w:rsid w:val="00B82FB7"/>
    <w:pPr>
      <w:keepNext/>
      <w:tabs>
        <w:tab w:val="left" w:pos="720"/>
      </w:tabs>
      <w:spacing w:before="240" w:after="60"/>
      <w:ind w:left="720" w:hanging="720"/>
      <w:outlineLvl w:val="0"/>
    </w:pPr>
    <w:rPr>
      <w:rFonts w:ascii="Arial" w:hAnsi="Arial" w:cs="Arial"/>
      <w:b/>
      <w:bCs/>
      <w:kern w:val="32"/>
    </w:rPr>
  </w:style>
  <w:style w:type="paragraph" w:styleId="Heading3">
    <w:name w:val="heading 3"/>
    <w:basedOn w:val="Normal"/>
    <w:next w:val="Normal"/>
    <w:link w:val="Heading3Char"/>
    <w:uiPriority w:val="9"/>
    <w:unhideWhenUsed/>
    <w:qFormat/>
    <w:rsid w:val="00DC1C8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17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172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02933"/>
    <w:pPr>
      <w:jc w:val="center"/>
    </w:pPr>
    <w:rPr>
      <w:b/>
      <w:bCs/>
      <w:sz w:val="22"/>
      <w:lang w:eastAsia="en-US"/>
    </w:rPr>
  </w:style>
  <w:style w:type="paragraph" w:styleId="Footer">
    <w:name w:val="footer"/>
    <w:basedOn w:val="Normal"/>
    <w:link w:val="FooterChar"/>
    <w:uiPriority w:val="99"/>
    <w:rsid w:val="00D02933"/>
    <w:pPr>
      <w:tabs>
        <w:tab w:val="center" w:pos="4153"/>
        <w:tab w:val="right" w:pos="8306"/>
      </w:tabs>
    </w:pPr>
    <w:rPr>
      <w:lang w:eastAsia="en-US"/>
    </w:rPr>
  </w:style>
  <w:style w:type="character" w:styleId="PageNumber">
    <w:name w:val="page number"/>
    <w:basedOn w:val="DefaultParagraphFont"/>
    <w:rsid w:val="00D02933"/>
  </w:style>
  <w:style w:type="paragraph" w:styleId="NormalWeb">
    <w:name w:val="Normal (Web)"/>
    <w:basedOn w:val="Normal"/>
    <w:uiPriority w:val="99"/>
    <w:rsid w:val="00D02933"/>
    <w:pPr>
      <w:spacing w:before="100" w:beforeAutospacing="1" w:after="100" w:afterAutospacing="1"/>
    </w:pPr>
  </w:style>
  <w:style w:type="paragraph" w:styleId="BodyTextIndent3">
    <w:name w:val="Body Text Indent 3"/>
    <w:basedOn w:val="Normal"/>
    <w:rsid w:val="00D02933"/>
    <w:pPr>
      <w:ind w:left="360"/>
      <w:jc w:val="both"/>
    </w:pPr>
    <w:rPr>
      <w:sz w:val="22"/>
      <w:szCs w:val="20"/>
      <w:lang w:eastAsia="en-US"/>
    </w:rPr>
  </w:style>
  <w:style w:type="character" w:styleId="Hyperlink">
    <w:name w:val="Hyperlink"/>
    <w:basedOn w:val="DefaultParagraphFont"/>
    <w:rsid w:val="00E80933"/>
    <w:rPr>
      <w:color w:val="0000FF"/>
      <w:u w:val="single"/>
    </w:rPr>
  </w:style>
  <w:style w:type="paragraph" w:styleId="Header">
    <w:name w:val="header"/>
    <w:basedOn w:val="Normal"/>
    <w:link w:val="HeaderChar"/>
    <w:rsid w:val="00E451AC"/>
    <w:pPr>
      <w:tabs>
        <w:tab w:val="center" w:pos="4153"/>
        <w:tab w:val="right" w:pos="8306"/>
      </w:tabs>
    </w:pPr>
  </w:style>
  <w:style w:type="paragraph" w:styleId="PlainText">
    <w:name w:val="Plain Text"/>
    <w:basedOn w:val="Normal"/>
    <w:link w:val="PlainTextChar"/>
    <w:rsid w:val="00D31FAB"/>
    <w:rPr>
      <w:rFonts w:ascii="Courier New" w:hAnsi="Courier New" w:cs="Courier New"/>
      <w:sz w:val="20"/>
      <w:szCs w:val="20"/>
    </w:rPr>
  </w:style>
  <w:style w:type="paragraph" w:styleId="BodyText2">
    <w:name w:val="Body Text 2"/>
    <w:basedOn w:val="Normal"/>
    <w:rsid w:val="00C318DF"/>
    <w:pPr>
      <w:spacing w:after="120" w:line="480" w:lineRule="auto"/>
    </w:pPr>
  </w:style>
  <w:style w:type="character" w:customStyle="1" w:styleId="Heading1Char">
    <w:name w:val="Heading 1 Char"/>
    <w:basedOn w:val="DefaultParagraphFont"/>
    <w:link w:val="Heading1"/>
    <w:rsid w:val="00B82FB7"/>
    <w:rPr>
      <w:rFonts w:ascii="Arial" w:hAnsi="Arial" w:cs="Arial"/>
      <w:b/>
      <w:bCs/>
      <w:kern w:val="32"/>
      <w:sz w:val="24"/>
      <w:szCs w:val="24"/>
    </w:rPr>
  </w:style>
  <w:style w:type="paragraph" w:styleId="NormalIndent">
    <w:name w:val="Normal Indent"/>
    <w:basedOn w:val="Normal"/>
    <w:autoRedefine/>
    <w:rsid w:val="00C318DF"/>
    <w:pPr>
      <w:ind w:left="720"/>
      <w:jc w:val="both"/>
    </w:pPr>
    <w:rPr>
      <w:sz w:val="22"/>
      <w:szCs w:val="22"/>
    </w:rPr>
  </w:style>
  <w:style w:type="paragraph" w:customStyle="1" w:styleId="2NormalIndent">
    <w:name w:val="2 Normal Indent"/>
    <w:basedOn w:val="NormalIndent"/>
    <w:rsid w:val="00C318DF"/>
    <w:pPr>
      <w:tabs>
        <w:tab w:val="left" w:pos="1418"/>
      </w:tabs>
      <w:ind w:left="1304"/>
    </w:pPr>
    <w:rPr>
      <w:bCs/>
    </w:rPr>
  </w:style>
  <w:style w:type="character" w:customStyle="1" w:styleId="EmailStyle271">
    <w:name w:val="EmailStyle271"/>
    <w:basedOn w:val="DefaultParagraphFont"/>
    <w:semiHidden/>
    <w:rsid w:val="00F67DB2"/>
    <w:rPr>
      <w:rFonts w:ascii="Verdana" w:hAnsi="Verdana"/>
      <w:b w:val="0"/>
      <w:bCs w:val="0"/>
      <w:i w:val="0"/>
      <w:iCs w:val="0"/>
      <w:strike w:val="0"/>
      <w:color w:val="0000FF"/>
      <w:sz w:val="20"/>
      <w:szCs w:val="20"/>
      <w:u w:val="none"/>
    </w:rPr>
  </w:style>
  <w:style w:type="character" w:customStyle="1" w:styleId="TitleChar">
    <w:name w:val="Title Char"/>
    <w:basedOn w:val="DefaultParagraphFont"/>
    <w:link w:val="Title"/>
    <w:uiPriority w:val="10"/>
    <w:rsid w:val="002F1992"/>
    <w:rPr>
      <w:b/>
      <w:bCs/>
      <w:sz w:val="22"/>
      <w:szCs w:val="24"/>
      <w:lang w:eastAsia="en-US"/>
    </w:rPr>
  </w:style>
  <w:style w:type="character" w:customStyle="1" w:styleId="HeaderChar">
    <w:name w:val="Header Char"/>
    <w:basedOn w:val="DefaultParagraphFont"/>
    <w:link w:val="Header"/>
    <w:rsid w:val="002E3FAA"/>
    <w:rPr>
      <w:sz w:val="24"/>
      <w:szCs w:val="24"/>
    </w:rPr>
  </w:style>
  <w:style w:type="character" w:customStyle="1" w:styleId="PlainTextChar">
    <w:name w:val="Plain Text Char"/>
    <w:basedOn w:val="DefaultParagraphFont"/>
    <w:link w:val="PlainText"/>
    <w:rsid w:val="002E3FAA"/>
    <w:rPr>
      <w:rFonts w:ascii="Courier New" w:hAnsi="Courier New" w:cs="Courier New"/>
    </w:rPr>
  </w:style>
  <w:style w:type="paragraph" w:styleId="ListParagraph">
    <w:name w:val="List Paragraph"/>
    <w:basedOn w:val="Normal"/>
    <w:uiPriority w:val="34"/>
    <w:qFormat/>
    <w:rsid w:val="00296498"/>
    <w:pPr>
      <w:ind w:left="720"/>
    </w:pPr>
  </w:style>
  <w:style w:type="table" w:styleId="TableGrid">
    <w:name w:val="Table Grid"/>
    <w:basedOn w:val="TableNormal"/>
    <w:uiPriority w:val="59"/>
    <w:rsid w:val="00E21E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55671"/>
    <w:rPr>
      <w:sz w:val="24"/>
      <w:szCs w:val="24"/>
      <w:lang w:eastAsia="en-US"/>
    </w:rPr>
  </w:style>
  <w:style w:type="character" w:styleId="FollowedHyperlink">
    <w:name w:val="FollowedHyperlink"/>
    <w:basedOn w:val="DefaultParagraphFont"/>
    <w:uiPriority w:val="99"/>
    <w:semiHidden/>
    <w:unhideWhenUsed/>
    <w:rsid w:val="0099495A"/>
    <w:rPr>
      <w:color w:val="800080" w:themeColor="followedHyperlink"/>
      <w:u w:val="single"/>
    </w:rPr>
  </w:style>
  <w:style w:type="paragraph" w:styleId="FootnoteText">
    <w:name w:val="footnote text"/>
    <w:basedOn w:val="Normal"/>
    <w:link w:val="FootnoteTextChar"/>
    <w:uiPriority w:val="99"/>
    <w:semiHidden/>
    <w:unhideWhenUsed/>
    <w:rsid w:val="00D70537"/>
    <w:rPr>
      <w:sz w:val="20"/>
      <w:szCs w:val="20"/>
    </w:rPr>
  </w:style>
  <w:style w:type="character" w:customStyle="1" w:styleId="FootnoteTextChar">
    <w:name w:val="Footnote Text Char"/>
    <w:basedOn w:val="DefaultParagraphFont"/>
    <w:link w:val="FootnoteText"/>
    <w:uiPriority w:val="99"/>
    <w:semiHidden/>
    <w:rsid w:val="00D70537"/>
  </w:style>
  <w:style w:type="character" w:styleId="FootnoteReference">
    <w:name w:val="footnote reference"/>
    <w:basedOn w:val="DefaultParagraphFont"/>
    <w:uiPriority w:val="99"/>
    <w:semiHidden/>
    <w:unhideWhenUsed/>
    <w:rsid w:val="00D70537"/>
    <w:rPr>
      <w:vertAlign w:val="superscript"/>
    </w:rPr>
  </w:style>
  <w:style w:type="character" w:styleId="CommentReference">
    <w:name w:val="annotation reference"/>
    <w:basedOn w:val="DefaultParagraphFont"/>
    <w:uiPriority w:val="99"/>
    <w:semiHidden/>
    <w:unhideWhenUsed/>
    <w:rsid w:val="00DD0BC2"/>
    <w:rPr>
      <w:sz w:val="16"/>
      <w:szCs w:val="16"/>
    </w:rPr>
  </w:style>
  <w:style w:type="paragraph" w:styleId="CommentText">
    <w:name w:val="annotation text"/>
    <w:basedOn w:val="Normal"/>
    <w:link w:val="CommentTextChar"/>
    <w:uiPriority w:val="99"/>
    <w:semiHidden/>
    <w:unhideWhenUsed/>
    <w:rsid w:val="00DD0BC2"/>
    <w:rPr>
      <w:sz w:val="20"/>
      <w:szCs w:val="20"/>
    </w:rPr>
  </w:style>
  <w:style w:type="character" w:customStyle="1" w:styleId="CommentTextChar">
    <w:name w:val="Comment Text Char"/>
    <w:basedOn w:val="DefaultParagraphFont"/>
    <w:link w:val="CommentText"/>
    <w:uiPriority w:val="99"/>
    <w:semiHidden/>
    <w:rsid w:val="00DD0BC2"/>
  </w:style>
  <w:style w:type="paragraph" w:styleId="CommentSubject">
    <w:name w:val="annotation subject"/>
    <w:basedOn w:val="CommentText"/>
    <w:next w:val="CommentText"/>
    <w:link w:val="CommentSubjectChar"/>
    <w:uiPriority w:val="99"/>
    <w:semiHidden/>
    <w:unhideWhenUsed/>
    <w:rsid w:val="00DD0BC2"/>
    <w:rPr>
      <w:b/>
      <w:bCs/>
    </w:rPr>
  </w:style>
  <w:style w:type="character" w:customStyle="1" w:styleId="CommentSubjectChar">
    <w:name w:val="Comment Subject Char"/>
    <w:basedOn w:val="CommentTextChar"/>
    <w:link w:val="CommentSubject"/>
    <w:uiPriority w:val="99"/>
    <w:semiHidden/>
    <w:rsid w:val="00DD0BC2"/>
    <w:rPr>
      <w:b/>
      <w:bCs/>
    </w:rPr>
  </w:style>
  <w:style w:type="paragraph" w:styleId="BalloonText">
    <w:name w:val="Balloon Text"/>
    <w:basedOn w:val="Normal"/>
    <w:link w:val="BalloonTextChar"/>
    <w:uiPriority w:val="99"/>
    <w:semiHidden/>
    <w:unhideWhenUsed/>
    <w:rsid w:val="00DD0BC2"/>
    <w:rPr>
      <w:rFonts w:ascii="Tahoma" w:hAnsi="Tahoma" w:cs="Tahoma"/>
      <w:sz w:val="16"/>
      <w:szCs w:val="16"/>
    </w:rPr>
  </w:style>
  <w:style w:type="character" w:customStyle="1" w:styleId="BalloonTextChar">
    <w:name w:val="Balloon Text Char"/>
    <w:basedOn w:val="DefaultParagraphFont"/>
    <w:link w:val="BalloonText"/>
    <w:uiPriority w:val="99"/>
    <w:semiHidden/>
    <w:rsid w:val="00DD0BC2"/>
    <w:rPr>
      <w:rFonts w:ascii="Tahoma" w:hAnsi="Tahoma" w:cs="Tahoma"/>
      <w:sz w:val="16"/>
      <w:szCs w:val="16"/>
    </w:rPr>
  </w:style>
  <w:style w:type="paragraph" w:styleId="BodyText">
    <w:name w:val="Body Text"/>
    <w:basedOn w:val="Normal"/>
    <w:link w:val="BodyTextChar"/>
    <w:uiPriority w:val="99"/>
    <w:semiHidden/>
    <w:unhideWhenUsed/>
    <w:rsid w:val="008011B1"/>
    <w:pPr>
      <w:spacing w:after="120"/>
    </w:pPr>
  </w:style>
  <w:style w:type="character" w:customStyle="1" w:styleId="BodyTextChar">
    <w:name w:val="Body Text Char"/>
    <w:basedOn w:val="DefaultParagraphFont"/>
    <w:link w:val="BodyText"/>
    <w:uiPriority w:val="99"/>
    <w:semiHidden/>
    <w:rsid w:val="008011B1"/>
    <w:rPr>
      <w:sz w:val="24"/>
      <w:szCs w:val="24"/>
    </w:rPr>
  </w:style>
  <w:style w:type="character" w:customStyle="1" w:styleId="Heading4Char">
    <w:name w:val="Heading 4 Char"/>
    <w:basedOn w:val="DefaultParagraphFont"/>
    <w:link w:val="Heading4"/>
    <w:uiPriority w:val="9"/>
    <w:semiHidden/>
    <w:rsid w:val="004B172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4B1721"/>
    <w:rPr>
      <w:rFonts w:asciiTheme="majorHAnsi" w:eastAsiaTheme="majorEastAsia" w:hAnsiTheme="majorHAnsi" w:cstheme="majorBidi"/>
      <w:color w:val="243F60" w:themeColor="accent1" w:themeShade="7F"/>
      <w:sz w:val="24"/>
      <w:szCs w:val="24"/>
    </w:rPr>
  </w:style>
  <w:style w:type="character" w:customStyle="1" w:styleId="style61">
    <w:name w:val="style61"/>
    <w:basedOn w:val="DefaultParagraphFont"/>
    <w:rsid w:val="004B1721"/>
    <w:rPr>
      <w:shd w:val="clear" w:color="auto" w:fill="FFFFFF"/>
    </w:rPr>
  </w:style>
  <w:style w:type="character" w:customStyle="1" w:styleId="style51">
    <w:name w:val="style51"/>
    <w:basedOn w:val="DefaultParagraphFont"/>
    <w:rsid w:val="004B1721"/>
    <w:rPr>
      <w:shd w:val="clear" w:color="auto" w:fill="FF00FF"/>
    </w:rPr>
  </w:style>
  <w:style w:type="character" w:styleId="Strong">
    <w:name w:val="Strong"/>
    <w:basedOn w:val="DefaultParagraphFont"/>
    <w:uiPriority w:val="22"/>
    <w:qFormat/>
    <w:rsid w:val="00004BB6"/>
    <w:rPr>
      <w:b/>
      <w:bCs/>
    </w:rPr>
  </w:style>
  <w:style w:type="character" w:customStyle="1" w:styleId="Heading3Char">
    <w:name w:val="Heading 3 Char"/>
    <w:basedOn w:val="DefaultParagraphFont"/>
    <w:link w:val="Heading3"/>
    <w:uiPriority w:val="9"/>
    <w:rsid w:val="00DC1C80"/>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uiPriority w:val="99"/>
    <w:semiHidden/>
    <w:unhideWhenUsed/>
    <w:rsid w:val="006E0844"/>
    <w:rPr>
      <w:sz w:val="20"/>
      <w:szCs w:val="20"/>
    </w:rPr>
  </w:style>
  <w:style w:type="character" w:customStyle="1" w:styleId="EndnoteTextChar">
    <w:name w:val="Endnote Text Char"/>
    <w:basedOn w:val="DefaultParagraphFont"/>
    <w:link w:val="EndnoteText"/>
    <w:uiPriority w:val="99"/>
    <w:semiHidden/>
    <w:rsid w:val="006E0844"/>
  </w:style>
  <w:style w:type="character" w:styleId="EndnoteReference">
    <w:name w:val="endnote reference"/>
    <w:basedOn w:val="DefaultParagraphFont"/>
    <w:uiPriority w:val="99"/>
    <w:semiHidden/>
    <w:unhideWhenUsed/>
    <w:rsid w:val="006E0844"/>
    <w:rPr>
      <w:vertAlign w:val="superscript"/>
    </w:rPr>
  </w:style>
  <w:style w:type="character" w:styleId="UnresolvedMention">
    <w:name w:val="Unresolved Mention"/>
    <w:basedOn w:val="DefaultParagraphFont"/>
    <w:uiPriority w:val="99"/>
    <w:semiHidden/>
    <w:unhideWhenUsed/>
    <w:rsid w:val="00E84399"/>
    <w:rPr>
      <w:color w:val="605E5C"/>
      <w:shd w:val="clear" w:color="auto" w:fill="E1DFDD"/>
    </w:rPr>
  </w:style>
  <w:style w:type="paragraph" w:styleId="Revision">
    <w:name w:val="Revision"/>
    <w:hidden/>
    <w:uiPriority w:val="99"/>
    <w:semiHidden/>
    <w:rsid w:val="008A29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681">
      <w:bodyDiv w:val="1"/>
      <w:marLeft w:val="0"/>
      <w:marRight w:val="0"/>
      <w:marTop w:val="0"/>
      <w:marBottom w:val="0"/>
      <w:divBdr>
        <w:top w:val="none" w:sz="0" w:space="0" w:color="auto"/>
        <w:left w:val="none" w:sz="0" w:space="0" w:color="auto"/>
        <w:bottom w:val="none" w:sz="0" w:space="0" w:color="auto"/>
        <w:right w:val="none" w:sz="0" w:space="0" w:color="auto"/>
      </w:divBdr>
      <w:divsChild>
        <w:div w:id="533883965">
          <w:marLeft w:val="0"/>
          <w:marRight w:val="0"/>
          <w:marTop w:val="0"/>
          <w:marBottom w:val="0"/>
          <w:divBdr>
            <w:top w:val="none" w:sz="0" w:space="0" w:color="auto"/>
            <w:left w:val="none" w:sz="0" w:space="0" w:color="auto"/>
            <w:bottom w:val="none" w:sz="0" w:space="0" w:color="auto"/>
            <w:right w:val="none" w:sz="0" w:space="0" w:color="auto"/>
          </w:divBdr>
          <w:divsChild>
            <w:div w:id="1098716809">
              <w:marLeft w:val="3450"/>
              <w:marRight w:val="0"/>
              <w:marTop w:val="0"/>
              <w:marBottom w:val="0"/>
              <w:divBdr>
                <w:top w:val="single" w:sz="6" w:space="8" w:color="C6C6C6"/>
                <w:left w:val="single" w:sz="6" w:space="24" w:color="C6C6C6"/>
                <w:bottom w:val="single" w:sz="6" w:space="12" w:color="C6C6C6"/>
                <w:right w:val="none" w:sz="0" w:space="0" w:color="auto"/>
              </w:divBdr>
              <w:divsChild>
                <w:div w:id="21084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6166">
      <w:bodyDiv w:val="1"/>
      <w:marLeft w:val="0"/>
      <w:marRight w:val="0"/>
      <w:marTop w:val="0"/>
      <w:marBottom w:val="0"/>
      <w:divBdr>
        <w:top w:val="none" w:sz="0" w:space="0" w:color="auto"/>
        <w:left w:val="none" w:sz="0" w:space="0" w:color="auto"/>
        <w:bottom w:val="none" w:sz="0" w:space="0" w:color="auto"/>
        <w:right w:val="none" w:sz="0" w:space="0" w:color="auto"/>
      </w:divBdr>
    </w:div>
    <w:div w:id="113911372">
      <w:bodyDiv w:val="1"/>
      <w:marLeft w:val="0"/>
      <w:marRight w:val="0"/>
      <w:marTop w:val="0"/>
      <w:marBottom w:val="0"/>
      <w:divBdr>
        <w:top w:val="none" w:sz="0" w:space="0" w:color="auto"/>
        <w:left w:val="none" w:sz="0" w:space="0" w:color="auto"/>
        <w:bottom w:val="none" w:sz="0" w:space="0" w:color="auto"/>
        <w:right w:val="none" w:sz="0" w:space="0" w:color="auto"/>
      </w:divBdr>
    </w:div>
    <w:div w:id="141120089">
      <w:bodyDiv w:val="1"/>
      <w:marLeft w:val="0"/>
      <w:marRight w:val="0"/>
      <w:marTop w:val="0"/>
      <w:marBottom w:val="0"/>
      <w:divBdr>
        <w:top w:val="none" w:sz="0" w:space="0" w:color="auto"/>
        <w:left w:val="none" w:sz="0" w:space="0" w:color="auto"/>
        <w:bottom w:val="none" w:sz="0" w:space="0" w:color="auto"/>
        <w:right w:val="none" w:sz="0" w:space="0" w:color="auto"/>
      </w:divBdr>
    </w:div>
    <w:div w:id="144057500">
      <w:bodyDiv w:val="1"/>
      <w:marLeft w:val="0"/>
      <w:marRight w:val="0"/>
      <w:marTop w:val="0"/>
      <w:marBottom w:val="0"/>
      <w:divBdr>
        <w:top w:val="none" w:sz="0" w:space="0" w:color="auto"/>
        <w:left w:val="none" w:sz="0" w:space="0" w:color="auto"/>
        <w:bottom w:val="none" w:sz="0" w:space="0" w:color="auto"/>
        <w:right w:val="none" w:sz="0" w:space="0" w:color="auto"/>
      </w:divBdr>
      <w:divsChild>
        <w:div w:id="234710944">
          <w:marLeft w:val="0"/>
          <w:marRight w:val="0"/>
          <w:marTop w:val="0"/>
          <w:marBottom w:val="0"/>
          <w:divBdr>
            <w:top w:val="none" w:sz="0" w:space="0" w:color="auto"/>
            <w:left w:val="none" w:sz="0" w:space="0" w:color="auto"/>
            <w:bottom w:val="none" w:sz="0" w:space="0" w:color="auto"/>
            <w:right w:val="none" w:sz="0" w:space="0" w:color="auto"/>
          </w:divBdr>
          <w:divsChild>
            <w:div w:id="1544634890">
              <w:marLeft w:val="3450"/>
              <w:marRight w:val="0"/>
              <w:marTop w:val="0"/>
              <w:marBottom w:val="0"/>
              <w:divBdr>
                <w:top w:val="single" w:sz="6" w:space="8" w:color="C6C6C6"/>
                <w:left w:val="single" w:sz="6" w:space="24" w:color="C6C6C6"/>
                <w:bottom w:val="single" w:sz="6" w:space="12" w:color="C6C6C6"/>
                <w:right w:val="none" w:sz="0" w:space="0" w:color="auto"/>
              </w:divBdr>
              <w:divsChild>
                <w:div w:id="5641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578504">
      <w:bodyDiv w:val="1"/>
      <w:marLeft w:val="0"/>
      <w:marRight w:val="0"/>
      <w:marTop w:val="0"/>
      <w:marBottom w:val="0"/>
      <w:divBdr>
        <w:top w:val="none" w:sz="0" w:space="0" w:color="auto"/>
        <w:left w:val="none" w:sz="0" w:space="0" w:color="auto"/>
        <w:bottom w:val="none" w:sz="0" w:space="0" w:color="auto"/>
        <w:right w:val="none" w:sz="0" w:space="0" w:color="auto"/>
      </w:divBdr>
    </w:div>
    <w:div w:id="394814942">
      <w:bodyDiv w:val="1"/>
      <w:marLeft w:val="0"/>
      <w:marRight w:val="0"/>
      <w:marTop w:val="0"/>
      <w:marBottom w:val="0"/>
      <w:divBdr>
        <w:top w:val="none" w:sz="0" w:space="0" w:color="auto"/>
        <w:left w:val="none" w:sz="0" w:space="0" w:color="auto"/>
        <w:bottom w:val="none" w:sz="0" w:space="0" w:color="auto"/>
        <w:right w:val="none" w:sz="0" w:space="0" w:color="auto"/>
      </w:divBdr>
    </w:div>
    <w:div w:id="409353072">
      <w:bodyDiv w:val="1"/>
      <w:marLeft w:val="0"/>
      <w:marRight w:val="0"/>
      <w:marTop w:val="0"/>
      <w:marBottom w:val="0"/>
      <w:divBdr>
        <w:top w:val="none" w:sz="0" w:space="0" w:color="auto"/>
        <w:left w:val="none" w:sz="0" w:space="0" w:color="auto"/>
        <w:bottom w:val="none" w:sz="0" w:space="0" w:color="auto"/>
        <w:right w:val="none" w:sz="0" w:space="0" w:color="auto"/>
      </w:divBdr>
    </w:div>
    <w:div w:id="506138992">
      <w:bodyDiv w:val="1"/>
      <w:marLeft w:val="0"/>
      <w:marRight w:val="0"/>
      <w:marTop w:val="0"/>
      <w:marBottom w:val="0"/>
      <w:divBdr>
        <w:top w:val="none" w:sz="0" w:space="0" w:color="auto"/>
        <w:left w:val="none" w:sz="0" w:space="0" w:color="auto"/>
        <w:bottom w:val="none" w:sz="0" w:space="0" w:color="auto"/>
        <w:right w:val="none" w:sz="0" w:space="0" w:color="auto"/>
      </w:divBdr>
      <w:divsChild>
        <w:div w:id="2130512133">
          <w:marLeft w:val="0"/>
          <w:marRight w:val="0"/>
          <w:marTop w:val="0"/>
          <w:marBottom w:val="0"/>
          <w:divBdr>
            <w:top w:val="none" w:sz="0" w:space="0" w:color="auto"/>
            <w:left w:val="none" w:sz="0" w:space="0" w:color="auto"/>
            <w:bottom w:val="none" w:sz="0" w:space="0" w:color="auto"/>
            <w:right w:val="none" w:sz="0" w:space="0" w:color="auto"/>
          </w:divBdr>
          <w:divsChild>
            <w:div w:id="190268170">
              <w:marLeft w:val="3450"/>
              <w:marRight w:val="0"/>
              <w:marTop w:val="0"/>
              <w:marBottom w:val="0"/>
              <w:divBdr>
                <w:top w:val="single" w:sz="6" w:space="8" w:color="C6C6C6"/>
                <w:left w:val="single" w:sz="6" w:space="24" w:color="C6C6C6"/>
                <w:bottom w:val="single" w:sz="6" w:space="12" w:color="C6C6C6"/>
                <w:right w:val="none" w:sz="0" w:space="0" w:color="auto"/>
              </w:divBdr>
              <w:divsChild>
                <w:div w:id="15382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9780">
      <w:bodyDiv w:val="1"/>
      <w:marLeft w:val="0"/>
      <w:marRight w:val="0"/>
      <w:marTop w:val="0"/>
      <w:marBottom w:val="0"/>
      <w:divBdr>
        <w:top w:val="none" w:sz="0" w:space="0" w:color="auto"/>
        <w:left w:val="none" w:sz="0" w:space="0" w:color="auto"/>
        <w:bottom w:val="none" w:sz="0" w:space="0" w:color="auto"/>
        <w:right w:val="none" w:sz="0" w:space="0" w:color="auto"/>
      </w:divBdr>
    </w:div>
    <w:div w:id="898202168">
      <w:bodyDiv w:val="1"/>
      <w:marLeft w:val="0"/>
      <w:marRight w:val="0"/>
      <w:marTop w:val="0"/>
      <w:marBottom w:val="0"/>
      <w:divBdr>
        <w:top w:val="none" w:sz="0" w:space="0" w:color="auto"/>
        <w:left w:val="none" w:sz="0" w:space="0" w:color="auto"/>
        <w:bottom w:val="none" w:sz="0" w:space="0" w:color="auto"/>
        <w:right w:val="none" w:sz="0" w:space="0" w:color="auto"/>
      </w:divBdr>
      <w:divsChild>
        <w:div w:id="727411774">
          <w:marLeft w:val="0"/>
          <w:marRight w:val="0"/>
          <w:marTop w:val="0"/>
          <w:marBottom w:val="0"/>
          <w:divBdr>
            <w:top w:val="none" w:sz="0" w:space="0" w:color="auto"/>
            <w:left w:val="none" w:sz="0" w:space="0" w:color="auto"/>
            <w:bottom w:val="none" w:sz="0" w:space="0" w:color="auto"/>
            <w:right w:val="none" w:sz="0" w:space="0" w:color="auto"/>
          </w:divBdr>
          <w:divsChild>
            <w:div w:id="777334505">
              <w:marLeft w:val="0"/>
              <w:marRight w:val="0"/>
              <w:marTop w:val="0"/>
              <w:marBottom w:val="0"/>
              <w:divBdr>
                <w:top w:val="none" w:sz="0" w:space="0" w:color="auto"/>
                <w:left w:val="none" w:sz="0" w:space="0" w:color="auto"/>
                <w:bottom w:val="none" w:sz="0" w:space="0" w:color="auto"/>
                <w:right w:val="none" w:sz="0" w:space="0" w:color="auto"/>
              </w:divBdr>
              <w:divsChild>
                <w:div w:id="159927980">
                  <w:marLeft w:val="0"/>
                  <w:marRight w:val="0"/>
                  <w:marTop w:val="0"/>
                  <w:marBottom w:val="0"/>
                  <w:divBdr>
                    <w:top w:val="none" w:sz="0" w:space="0" w:color="auto"/>
                    <w:left w:val="none" w:sz="0" w:space="0" w:color="auto"/>
                    <w:bottom w:val="none" w:sz="0" w:space="0" w:color="auto"/>
                    <w:right w:val="none" w:sz="0" w:space="0" w:color="auto"/>
                  </w:divBdr>
                  <w:divsChild>
                    <w:div w:id="1862938100">
                      <w:marLeft w:val="0"/>
                      <w:marRight w:val="0"/>
                      <w:marTop w:val="0"/>
                      <w:marBottom w:val="0"/>
                      <w:divBdr>
                        <w:top w:val="none" w:sz="0" w:space="0" w:color="auto"/>
                        <w:left w:val="none" w:sz="0" w:space="0" w:color="auto"/>
                        <w:bottom w:val="none" w:sz="0" w:space="0" w:color="auto"/>
                        <w:right w:val="none" w:sz="0" w:space="0" w:color="auto"/>
                      </w:divBdr>
                      <w:divsChild>
                        <w:div w:id="1495754922">
                          <w:marLeft w:val="0"/>
                          <w:marRight w:val="0"/>
                          <w:marTop w:val="0"/>
                          <w:marBottom w:val="0"/>
                          <w:divBdr>
                            <w:top w:val="none" w:sz="0" w:space="0" w:color="auto"/>
                            <w:left w:val="none" w:sz="0" w:space="0" w:color="auto"/>
                            <w:bottom w:val="none" w:sz="0" w:space="0" w:color="auto"/>
                            <w:right w:val="none" w:sz="0" w:space="0" w:color="auto"/>
                          </w:divBdr>
                          <w:divsChild>
                            <w:div w:id="1019966798">
                              <w:marLeft w:val="0"/>
                              <w:marRight w:val="0"/>
                              <w:marTop w:val="0"/>
                              <w:marBottom w:val="0"/>
                              <w:divBdr>
                                <w:top w:val="none" w:sz="0" w:space="0" w:color="auto"/>
                                <w:left w:val="none" w:sz="0" w:space="0" w:color="auto"/>
                                <w:bottom w:val="none" w:sz="0" w:space="0" w:color="auto"/>
                                <w:right w:val="none" w:sz="0" w:space="0" w:color="auto"/>
                              </w:divBdr>
                              <w:divsChild>
                                <w:div w:id="686904257">
                                  <w:marLeft w:val="0"/>
                                  <w:marRight w:val="0"/>
                                  <w:marTop w:val="0"/>
                                  <w:marBottom w:val="0"/>
                                  <w:divBdr>
                                    <w:top w:val="none" w:sz="0" w:space="0" w:color="auto"/>
                                    <w:left w:val="none" w:sz="0" w:space="0" w:color="auto"/>
                                    <w:bottom w:val="none" w:sz="0" w:space="0" w:color="auto"/>
                                    <w:right w:val="none" w:sz="0" w:space="0" w:color="auto"/>
                                  </w:divBdr>
                                  <w:divsChild>
                                    <w:div w:id="1113863163">
                                      <w:marLeft w:val="0"/>
                                      <w:marRight w:val="0"/>
                                      <w:marTop w:val="0"/>
                                      <w:marBottom w:val="0"/>
                                      <w:divBdr>
                                        <w:top w:val="none" w:sz="0" w:space="0" w:color="auto"/>
                                        <w:left w:val="none" w:sz="0" w:space="0" w:color="auto"/>
                                        <w:bottom w:val="none" w:sz="0" w:space="0" w:color="auto"/>
                                        <w:right w:val="none" w:sz="0" w:space="0" w:color="auto"/>
                                      </w:divBdr>
                                      <w:divsChild>
                                        <w:div w:id="1263997605">
                                          <w:marLeft w:val="0"/>
                                          <w:marRight w:val="0"/>
                                          <w:marTop w:val="0"/>
                                          <w:marBottom w:val="0"/>
                                          <w:divBdr>
                                            <w:top w:val="none" w:sz="0" w:space="0" w:color="auto"/>
                                            <w:left w:val="none" w:sz="0" w:space="0" w:color="auto"/>
                                            <w:bottom w:val="none" w:sz="0" w:space="0" w:color="auto"/>
                                            <w:right w:val="none" w:sz="0" w:space="0" w:color="auto"/>
                                          </w:divBdr>
                                          <w:divsChild>
                                            <w:div w:id="934943004">
                                              <w:marLeft w:val="0"/>
                                              <w:marRight w:val="0"/>
                                              <w:marTop w:val="0"/>
                                              <w:marBottom w:val="0"/>
                                              <w:divBdr>
                                                <w:top w:val="none" w:sz="0" w:space="0" w:color="auto"/>
                                                <w:left w:val="none" w:sz="0" w:space="0" w:color="auto"/>
                                                <w:bottom w:val="none" w:sz="0" w:space="0" w:color="auto"/>
                                                <w:right w:val="none" w:sz="0" w:space="0" w:color="auto"/>
                                              </w:divBdr>
                                              <w:divsChild>
                                                <w:div w:id="898399936">
                                                  <w:marLeft w:val="0"/>
                                                  <w:marRight w:val="0"/>
                                                  <w:marTop w:val="0"/>
                                                  <w:marBottom w:val="0"/>
                                                  <w:divBdr>
                                                    <w:top w:val="none" w:sz="0" w:space="0" w:color="auto"/>
                                                    <w:left w:val="none" w:sz="0" w:space="0" w:color="auto"/>
                                                    <w:bottom w:val="none" w:sz="0" w:space="0" w:color="auto"/>
                                                    <w:right w:val="none" w:sz="0" w:space="0" w:color="auto"/>
                                                  </w:divBdr>
                                                  <w:divsChild>
                                                    <w:div w:id="1602106276">
                                                      <w:marLeft w:val="0"/>
                                                      <w:marRight w:val="0"/>
                                                      <w:marTop w:val="0"/>
                                                      <w:marBottom w:val="0"/>
                                                      <w:divBdr>
                                                        <w:top w:val="none" w:sz="0" w:space="0" w:color="auto"/>
                                                        <w:left w:val="none" w:sz="0" w:space="0" w:color="auto"/>
                                                        <w:bottom w:val="none" w:sz="0" w:space="0" w:color="auto"/>
                                                        <w:right w:val="none" w:sz="0" w:space="0" w:color="auto"/>
                                                      </w:divBdr>
                                                      <w:divsChild>
                                                        <w:div w:id="2053729293">
                                                          <w:marLeft w:val="0"/>
                                                          <w:marRight w:val="0"/>
                                                          <w:marTop w:val="0"/>
                                                          <w:marBottom w:val="0"/>
                                                          <w:divBdr>
                                                            <w:top w:val="none" w:sz="0" w:space="0" w:color="auto"/>
                                                            <w:left w:val="none" w:sz="0" w:space="0" w:color="auto"/>
                                                            <w:bottom w:val="none" w:sz="0" w:space="0" w:color="auto"/>
                                                            <w:right w:val="none" w:sz="0" w:space="0" w:color="auto"/>
                                                          </w:divBdr>
                                                          <w:divsChild>
                                                            <w:div w:id="1898010053">
                                                              <w:marLeft w:val="0"/>
                                                              <w:marRight w:val="0"/>
                                                              <w:marTop w:val="0"/>
                                                              <w:marBottom w:val="0"/>
                                                              <w:divBdr>
                                                                <w:top w:val="none" w:sz="0" w:space="0" w:color="auto"/>
                                                                <w:left w:val="none" w:sz="0" w:space="0" w:color="auto"/>
                                                                <w:bottom w:val="none" w:sz="0" w:space="0" w:color="auto"/>
                                                                <w:right w:val="none" w:sz="0" w:space="0" w:color="auto"/>
                                                              </w:divBdr>
                                                              <w:divsChild>
                                                                <w:div w:id="861013983">
                                                                  <w:marLeft w:val="0"/>
                                                                  <w:marRight w:val="0"/>
                                                                  <w:marTop w:val="0"/>
                                                                  <w:marBottom w:val="0"/>
                                                                  <w:divBdr>
                                                                    <w:top w:val="none" w:sz="0" w:space="0" w:color="auto"/>
                                                                    <w:left w:val="none" w:sz="0" w:space="0" w:color="auto"/>
                                                                    <w:bottom w:val="none" w:sz="0" w:space="0" w:color="auto"/>
                                                                    <w:right w:val="none" w:sz="0" w:space="0" w:color="auto"/>
                                                                  </w:divBdr>
                                                                  <w:divsChild>
                                                                    <w:div w:id="3442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6061582">
      <w:bodyDiv w:val="1"/>
      <w:marLeft w:val="0"/>
      <w:marRight w:val="0"/>
      <w:marTop w:val="0"/>
      <w:marBottom w:val="0"/>
      <w:divBdr>
        <w:top w:val="none" w:sz="0" w:space="0" w:color="auto"/>
        <w:left w:val="none" w:sz="0" w:space="0" w:color="auto"/>
        <w:bottom w:val="none" w:sz="0" w:space="0" w:color="auto"/>
        <w:right w:val="none" w:sz="0" w:space="0" w:color="auto"/>
      </w:divBdr>
    </w:div>
    <w:div w:id="1180393290">
      <w:bodyDiv w:val="1"/>
      <w:marLeft w:val="0"/>
      <w:marRight w:val="0"/>
      <w:marTop w:val="0"/>
      <w:marBottom w:val="0"/>
      <w:divBdr>
        <w:top w:val="none" w:sz="0" w:space="0" w:color="auto"/>
        <w:left w:val="none" w:sz="0" w:space="0" w:color="auto"/>
        <w:bottom w:val="none" w:sz="0" w:space="0" w:color="auto"/>
        <w:right w:val="none" w:sz="0" w:space="0" w:color="auto"/>
      </w:divBdr>
    </w:div>
    <w:div w:id="1297564733">
      <w:bodyDiv w:val="1"/>
      <w:marLeft w:val="0"/>
      <w:marRight w:val="0"/>
      <w:marTop w:val="0"/>
      <w:marBottom w:val="0"/>
      <w:divBdr>
        <w:top w:val="none" w:sz="0" w:space="0" w:color="auto"/>
        <w:left w:val="none" w:sz="0" w:space="0" w:color="auto"/>
        <w:bottom w:val="none" w:sz="0" w:space="0" w:color="auto"/>
        <w:right w:val="none" w:sz="0" w:space="0" w:color="auto"/>
      </w:divBdr>
    </w:div>
    <w:div w:id="1351375208">
      <w:bodyDiv w:val="1"/>
      <w:marLeft w:val="0"/>
      <w:marRight w:val="0"/>
      <w:marTop w:val="0"/>
      <w:marBottom w:val="0"/>
      <w:divBdr>
        <w:top w:val="none" w:sz="0" w:space="0" w:color="auto"/>
        <w:left w:val="none" w:sz="0" w:space="0" w:color="auto"/>
        <w:bottom w:val="none" w:sz="0" w:space="0" w:color="auto"/>
        <w:right w:val="none" w:sz="0" w:space="0" w:color="auto"/>
      </w:divBdr>
    </w:div>
    <w:div w:id="1361321355">
      <w:bodyDiv w:val="1"/>
      <w:marLeft w:val="0"/>
      <w:marRight w:val="0"/>
      <w:marTop w:val="0"/>
      <w:marBottom w:val="0"/>
      <w:divBdr>
        <w:top w:val="none" w:sz="0" w:space="0" w:color="auto"/>
        <w:left w:val="none" w:sz="0" w:space="0" w:color="auto"/>
        <w:bottom w:val="none" w:sz="0" w:space="0" w:color="auto"/>
        <w:right w:val="none" w:sz="0" w:space="0" w:color="auto"/>
      </w:divBdr>
    </w:div>
    <w:div w:id="1370490223">
      <w:bodyDiv w:val="1"/>
      <w:marLeft w:val="0"/>
      <w:marRight w:val="0"/>
      <w:marTop w:val="0"/>
      <w:marBottom w:val="0"/>
      <w:divBdr>
        <w:top w:val="none" w:sz="0" w:space="0" w:color="auto"/>
        <w:left w:val="none" w:sz="0" w:space="0" w:color="auto"/>
        <w:bottom w:val="none" w:sz="0" w:space="0" w:color="auto"/>
        <w:right w:val="none" w:sz="0" w:space="0" w:color="auto"/>
      </w:divBdr>
    </w:div>
    <w:div w:id="1393458616">
      <w:bodyDiv w:val="1"/>
      <w:marLeft w:val="0"/>
      <w:marRight w:val="0"/>
      <w:marTop w:val="0"/>
      <w:marBottom w:val="0"/>
      <w:divBdr>
        <w:top w:val="none" w:sz="0" w:space="0" w:color="auto"/>
        <w:left w:val="none" w:sz="0" w:space="0" w:color="auto"/>
        <w:bottom w:val="none" w:sz="0" w:space="0" w:color="auto"/>
        <w:right w:val="none" w:sz="0" w:space="0" w:color="auto"/>
      </w:divBdr>
    </w:div>
    <w:div w:id="1401637038">
      <w:bodyDiv w:val="1"/>
      <w:marLeft w:val="0"/>
      <w:marRight w:val="0"/>
      <w:marTop w:val="0"/>
      <w:marBottom w:val="0"/>
      <w:divBdr>
        <w:top w:val="none" w:sz="0" w:space="0" w:color="auto"/>
        <w:left w:val="none" w:sz="0" w:space="0" w:color="auto"/>
        <w:bottom w:val="none" w:sz="0" w:space="0" w:color="auto"/>
        <w:right w:val="none" w:sz="0" w:space="0" w:color="auto"/>
      </w:divBdr>
    </w:div>
    <w:div w:id="1418012766">
      <w:bodyDiv w:val="1"/>
      <w:marLeft w:val="0"/>
      <w:marRight w:val="0"/>
      <w:marTop w:val="0"/>
      <w:marBottom w:val="0"/>
      <w:divBdr>
        <w:top w:val="none" w:sz="0" w:space="0" w:color="auto"/>
        <w:left w:val="none" w:sz="0" w:space="0" w:color="auto"/>
        <w:bottom w:val="none" w:sz="0" w:space="0" w:color="auto"/>
        <w:right w:val="none" w:sz="0" w:space="0" w:color="auto"/>
      </w:divBdr>
    </w:div>
    <w:div w:id="1421367259">
      <w:bodyDiv w:val="1"/>
      <w:marLeft w:val="0"/>
      <w:marRight w:val="0"/>
      <w:marTop w:val="0"/>
      <w:marBottom w:val="0"/>
      <w:divBdr>
        <w:top w:val="none" w:sz="0" w:space="0" w:color="auto"/>
        <w:left w:val="none" w:sz="0" w:space="0" w:color="auto"/>
        <w:bottom w:val="none" w:sz="0" w:space="0" w:color="auto"/>
        <w:right w:val="none" w:sz="0" w:space="0" w:color="auto"/>
      </w:divBdr>
    </w:div>
    <w:div w:id="1458569618">
      <w:bodyDiv w:val="1"/>
      <w:marLeft w:val="0"/>
      <w:marRight w:val="0"/>
      <w:marTop w:val="0"/>
      <w:marBottom w:val="0"/>
      <w:divBdr>
        <w:top w:val="none" w:sz="0" w:space="0" w:color="auto"/>
        <w:left w:val="none" w:sz="0" w:space="0" w:color="auto"/>
        <w:bottom w:val="none" w:sz="0" w:space="0" w:color="auto"/>
        <w:right w:val="none" w:sz="0" w:space="0" w:color="auto"/>
      </w:divBdr>
      <w:divsChild>
        <w:div w:id="1131290014">
          <w:marLeft w:val="0"/>
          <w:marRight w:val="0"/>
          <w:marTop w:val="0"/>
          <w:marBottom w:val="0"/>
          <w:divBdr>
            <w:top w:val="none" w:sz="0" w:space="0" w:color="auto"/>
            <w:left w:val="none" w:sz="0" w:space="0" w:color="auto"/>
            <w:bottom w:val="none" w:sz="0" w:space="0" w:color="auto"/>
            <w:right w:val="none" w:sz="0" w:space="0" w:color="auto"/>
          </w:divBdr>
          <w:divsChild>
            <w:div w:id="1478642975">
              <w:marLeft w:val="3450"/>
              <w:marRight w:val="0"/>
              <w:marTop w:val="0"/>
              <w:marBottom w:val="0"/>
              <w:divBdr>
                <w:top w:val="single" w:sz="6" w:space="8" w:color="C6C6C6"/>
                <w:left w:val="single" w:sz="6" w:space="24" w:color="C6C6C6"/>
                <w:bottom w:val="single" w:sz="6" w:space="12" w:color="C6C6C6"/>
                <w:right w:val="none" w:sz="0" w:space="0" w:color="auto"/>
              </w:divBdr>
              <w:divsChild>
                <w:div w:id="1900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605">
      <w:bodyDiv w:val="1"/>
      <w:marLeft w:val="0"/>
      <w:marRight w:val="0"/>
      <w:marTop w:val="0"/>
      <w:marBottom w:val="0"/>
      <w:divBdr>
        <w:top w:val="none" w:sz="0" w:space="0" w:color="auto"/>
        <w:left w:val="none" w:sz="0" w:space="0" w:color="auto"/>
        <w:bottom w:val="none" w:sz="0" w:space="0" w:color="auto"/>
        <w:right w:val="none" w:sz="0" w:space="0" w:color="auto"/>
      </w:divBdr>
    </w:div>
    <w:div w:id="18510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ssex.ac.uk/-/media/documents/about/governance/education-strategy-2019-25.pdf?la=en" TargetMode="External"/><Relationship Id="rId18" Type="http://schemas.openxmlformats.org/officeDocument/2006/relationships/hyperlink" Target="https://www.essex.ac.uk/staff/academic-standards-and-quality/quality-assurance-and-enhancement" TargetMode="External"/><Relationship Id="rId26" Type="http://schemas.openxmlformats.org/officeDocument/2006/relationships/hyperlink" Target="https://www.qaa.ac.uk/quality-code/qualifications-and-credit-frameworks" TargetMode="External"/><Relationship Id="rId39" Type="http://schemas.openxmlformats.org/officeDocument/2006/relationships/header" Target="header1.xml"/><Relationship Id="rId21" Type="http://schemas.openxmlformats.org/officeDocument/2006/relationships/hyperlink" Target="https://www.essex.ac.uk/staff/exams-and-assessment/assessment-and-marking-policies" TargetMode="External"/><Relationship Id="rId34" Type="http://schemas.openxmlformats.org/officeDocument/2006/relationships/hyperlink" Target="https://www.gov.uk/government/organisations/ofsted"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bleau.essex.ac.uk/" TargetMode="External"/><Relationship Id="rId29" Type="http://schemas.openxmlformats.org/officeDocument/2006/relationships/hyperlink" Target="https://www.qaa.ac.uk/docs/qaa/quality-code/making-use-of-credit.pdf?sfvrsn=d878d781_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media/53821cbf-5779-4380-bf2a-aa8f5c53ecd4/sector-recognised-standards.pdf" TargetMode="External"/><Relationship Id="rId24" Type="http://schemas.openxmlformats.org/officeDocument/2006/relationships/hyperlink" Target="https://www.qaa.ac.uk/the-quality-code" TargetMode="External"/><Relationship Id="rId32" Type="http://schemas.openxmlformats.org/officeDocument/2006/relationships/hyperlink" Target="https://www.gov.uk/government/organisations/education-and-skills-funding-agency" TargetMode="External"/><Relationship Id="rId37" Type="http://schemas.openxmlformats.org/officeDocument/2006/relationships/hyperlink" Target="https://www.essex.ac.uk/staff/academic-standards-and-quality/external-examiner-roles-and-responsibilities"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srs.essex.ac.uk/reporting/PIP/Pages/Default.aspx" TargetMode="External"/><Relationship Id="rId23" Type="http://schemas.openxmlformats.org/officeDocument/2006/relationships/hyperlink" Target="https://www.officeforstudents.org.uk/media/084f719f-5344-4717-a71b-a7ea00b9f53f/quality-and-standards-conditions.pdf" TargetMode="External"/><Relationship Id="rId28" Type="http://schemas.openxmlformats.org/officeDocument/2006/relationships/hyperlink" Target="https://www.qaa.ac.uk/the-quality-code/higher-education-credit-framework-for-england" TargetMode="External"/><Relationship Id="rId36" Type="http://schemas.openxmlformats.org/officeDocument/2006/relationships/hyperlink" Target="https://www.essex.ac.uk/staff/academic-standards-and-quality/external-regulation-and-monitoring" TargetMode="External"/><Relationship Id="rId10" Type="http://schemas.openxmlformats.org/officeDocument/2006/relationships/hyperlink" Target="https://www.officeforstudents.org.uk/media/084f719f-5344-4717-a71b-a7ea00b9f53f/quality-and-standards-conditions.pdf" TargetMode="External"/><Relationship Id="rId19" Type="http://schemas.openxmlformats.org/officeDocument/2006/relationships/hyperlink" Target="https://www.essex.ac.uk/governance-and-strategy/governance/regulations" TargetMode="External"/><Relationship Id="rId31" Type="http://schemas.openxmlformats.org/officeDocument/2006/relationships/hyperlink" Target="https://www.gov.uk/government/organisations/department-for-education"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qaa.ac.uk/the-quality-code" TargetMode="External"/><Relationship Id="rId14" Type="http://schemas.openxmlformats.org/officeDocument/2006/relationships/hyperlink" Target="https://www.essex.ac.uk/-/media/documents/about/governance/research-strategy-2019-25.pdf?la=en" TargetMode="External"/><Relationship Id="rId22" Type="http://schemas.openxmlformats.org/officeDocument/2006/relationships/hyperlink" Target="https://www.essex.ac.uk/staff/academic-standards-and-quality/annual-summary-academic-policy-decisions" TargetMode="External"/><Relationship Id="rId27" Type="http://schemas.openxmlformats.org/officeDocument/2006/relationships/hyperlink" Target="https://www.qaa.ac.uk/en/the-quality-code/characteristics-statements/characteristics-statement-masters-degrees" TargetMode="External"/><Relationship Id="rId30" Type="http://schemas.openxmlformats.org/officeDocument/2006/relationships/hyperlink" Target="https://www.qaa.ac.uk/the-quality-code/subject-benchmark-statements" TargetMode="External"/><Relationship Id="rId35" Type="http://schemas.openxmlformats.org/officeDocument/2006/relationships/hyperlink" Target="https://www.gov.uk/government/organisations/ofqual" TargetMode="External"/><Relationship Id="rId43" Type="http://schemas.openxmlformats.org/officeDocument/2006/relationships/header" Target="header3.xml"/><Relationship Id="rId8" Type="http://schemas.openxmlformats.org/officeDocument/2006/relationships/hyperlink" Target="https://www.officeforstudents.org.uk/" TargetMode="External"/><Relationship Id="rId3" Type="http://schemas.openxmlformats.org/officeDocument/2006/relationships/styles" Target="styles.xml"/><Relationship Id="rId12" Type="http://schemas.openxmlformats.org/officeDocument/2006/relationships/hyperlink" Target="https://www.essex.ac.uk/staff/governance/university-strategic-plan" TargetMode="External"/><Relationship Id="rId17" Type="http://schemas.openxmlformats.org/officeDocument/2006/relationships/hyperlink" Target="https://www.essex.ac.uk/governance-and-strategy/governance/university-calendar" TargetMode="External"/><Relationship Id="rId25" Type="http://schemas.openxmlformats.org/officeDocument/2006/relationships/hyperlink" Target="https://www.qaa.ac.uk/en/the-quality-code/advice-and-guidance" TargetMode="External"/><Relationship Id="rId33" Type="http://schemas.openxmlformats.org/officeDocument/2006/relationships/hyperlink" Target="https://www.instituteforapprenticeships.org/" TargetMode="External"/><Relationship Id="rId38" Type="http://schemas.openxmlformats.org/officeDocument/2006/relationships/hyperlink" Target="https://www.essex.ac.uk/-/media/documents/directories/academic-section/academic-standards-and-quality/external-engagement-consultation-framework.pdf" TargetMode="External"/><Relationship Id="rId46" Type="http://schemas.openxmlformats.org/officeDocument/2006/relationships/theme" Target="theme/theme1.xml"/><Relationship Id="rId20" Type="http://schemas.openxmlformats.org/officeDocument/2006/relationships/hyperlink" Target="https://www.essex.ac.uk/staff/exams-and-assessment/rules-of-assessment" TargetMode="External"/><Relationship Id="rId41"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32AB1-073F-4358-A3ED-C26F4265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Guidance on internal and external reference points</vt:lpstr>
    </vt:vector>
  </TitlesOfParts>
  <Company>University of Essex</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internal and external reference points</dc:title>
  <dc:creator>QUAD</dc:creator>
  <cp:keywords>University of Essex guidelines on benchmarking against internal and external reference points</cp:keywords>
  <cp:lastModifiedBy>Nash, Luke T W</cp:lastModifiedBy>
  <cp:revision>2</cp:revision>
  <cp:lastPrinted>2021-07-05T14:17:00Z</cp:lastPrinted>
  <dcterms:created xsi:type="dcterms:W3CDTF">2024-09-04T16:11:00Z</dcterms:created>
  <dcterms:modified xsi:type="dcterms:W3CDTF">2024-09-04T16:11:00Z</dcterms:modified>
</cp:coreProperties>
</file>