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426E" w14:textId="342866DB" w:rsidR="00740776" w:rsidRPr="00C23DE5" w:rsidRDefault="00925E91" w:rsidP="00606ECF">
      <w:pPr>
        <w:pStyle w:val="Heading1"/>
        <w:rPr>
          <w:color w:val="007A87"/>
        </w:rPr>
      </w:pPr>
      <w:r w:rsidRPr="00C23DE5">
        <w:rPr>
          <w:color w:val="007A87"/>
        </w:rPr>
        <w:t>Making Changes to Courses and Modules</w:t>
      </w:r>
    </w:p>
    <w:p w14:paraId="47686BC2" w14:textId="0114FA73" w:rsidR="00A72AF3" w:rsidRPr="00C23DE5" w:rsidRDefault="00925E91" w:rsidP="00925E91">
      <w:pPr>
        <w:pStyle w:val="Heading2"/>
        <w:rPr>
          <w:color w:val="007A87"/>
        </w:rPr>
      </w:pPr>
      <w:r w:rsidRPr="00C23DE5">
        <w:rPr>
          <w:color w:val="007A87"/>
        </w:rPr>
        <w:t xml:space="preserve">Consulting with </w:t>
      </w:r>
      <w:r w:rsidR="00ED46CE" w:rsidRPr="00C23DE5">
        <w:rPr>
          <w:color w:val="007A87"/>
        </w:rPr>
        <w:t xml:space="preserve">University </w:t>
      </w:r>
      <w:r w:rsidRPr="00C23DE5">
        <w:rPr>
          <w:color w:val="007A87"/>
        </w:rPr>
        <w:t>stakeholders</w:t>
      </w:r>
    </w:p>
    <w:p w14:paraId="1A8E502B" w14:textId="77777777" w:rsidR="00925E91" w:rsidRPr="00C23DE5" w:rsidRDefault="00925E91" w:rsidP="00CD1D49">
      <w:pPr>
        <w:pStyle w:val="Heading3"/>
        <w:spacing w:line="360" w:lineRule="auto"/>
      </w:pPr>
      <w:r w:rsidRPr="00C23DE5">
        <w:t>Introduction</w:t>
      </w:r>
    </w:p>
    <w:p w14:paraId="60A64A13" w14:textId="615D2A6D" w:rsidR="00925E91" w:rsidRDefault="00925E91" w:rsidP="00CD1D49">
      <w:pPr>
        <w:spacing w:line="360" w:lineRule="auto"/>
      </w:pPr>
      <w:r>
        <w:t xml:space="preserve">Consulting with key stakeholders from within the University </w:t>
      </w:r>
      <w:r w:rsidRPr="001719A9">
        <w:t xml:space="preserve">can help to decide what changes to make and see what information is needed to support the request. </w:t>
      </w:r>
    </w:p>
    <w:p w14:paraId="6674AD8A" w14:textId="77777777" w:rsidR="00925E91" w:rsidRPr="00407777" w:rsidRDefault="00925E91" w:rsidP="00CD1D49">
      <w:pPr>
        <w:pStyle w:val="Heading3"/>
        <w:spacing w:line="360" w:lineRule="auto"/>
      </w:pPr>
      <w:r w:rsidRPr="00407777">
        <w:t>Within the department and faculty</w:t>
      </w:r>
    </w:p>
    <w:p w14:paraId="253283E4" w14:textId="77777777" w:rsidR="00925E91" w:rsidRPr="00925E91" w:rsidRDefault="00925E91" w:rsidP="00CD1D49">
      <w:pPr>
        <w:pStyle w:val="ListParagraph"/>
        <w:numPr>
          <w:ilvl w:val="0"/>
          <w:numId w:val="11"/>
        </w:numPr>
        <w:spacing w:line="360" w:lineRule="auto"/>
      </w:pPr>
      <w:r w:rsidRPr="00925E91">
        <w:t>There should be discussions within departments over changes to share ideas, to consider courses as a whole, and to consider whether there’s consistency where needed (for example over word counts, marking criteria, or volume and type of assessment).</w:t>
      </w:r>
    </w:p>
    <w:p w14:paraId="1DFA85DE" w14:textId="214D2B0E" w:rsidR="00925E91" w:rsidRDefault="00925E91" w:rsidP="00CD1D49">
      <w:pPr>
        <w:pStyle w:val="ListParagraph"/>
        <w:numPr>
          <w:ilvl w:val="0"/>
          <w:numId w:val="11"/>
        </w:numPr>
        <w:spacing w:line="360" w:lineRule="auto"/>
      </w:pPr>
      <w:r w:rsidRPr="00925E91">
        <w:t>You may need to hold discussions at faculty-level, for example where there are resource implications (including staffing).</w:t>
      </w:r>
    </w:p>
    <w:p w14:paraId="287969EA" w14:textId="2AC6048D" w:rsidR="003104AA" w:rsidRDefault="003104AA" w:rsidP="00CD1D49">
      <w:pPr>
        <w:pStyle w:val="Heading3"/>
        <w:spacing w:line="360" w:lineRule="auto"/>
      </w:pPr>
      <w:r>
        <w:t xml:space="preserve">Other </w:t>
      </w:r>
      <w:r w:rsidR="00202B4C">
        <w:t>d</w:t>
      </w:r>
      <w:r>
        <w:t>epartments/</w:t>
      </w:r>
      <w:r w:rsidR="00202B4C">
        <w:t>s</w:t>
      </w:r>
      <w:r>
        <w:t>chools</w:t>
      </w:r>
    </w:p>
    <w:p w14:paraId="62C520B0" w14:textId="1E6244A5" w:rsidR="003104AA" w:rsidRPr="0063679F" w:rsidRDefault="003104AA" w:rsidP="00CD1D49">
      <w:pPr>
        <w:pStyle w:val="ListParagraph"/>
        <w:numPr>
          <w:ilvl w:val="0"/>
          <w:numId w:val="12"/>
        </w:numPr>
        <w:spacing w:line="360" w:lineRule="auto"/>
      </w:pPr>
      <w:r w:rsidRPr="0063679F">
        <w:t xml:space="preserve">Do remember that you will need to discuss upcoming changes for modules and joint degrees that are shared with other </w:t>
      </w:r>
      <w:r w:rsidR="00202B4C" w:rsidRPr="0063679F">
        <w:t>d</w:t>
      </w:r>
      <w:r w:rsidRPr="0063679F">
        <w:t>epartments</w:t>
      </w:r>
      <w:r w:rsidR="00202B4C" w:rsidRPr="0063679F">
        <w:t>/schools involved.</w:t>
      </w:r>
      <w:r w:rsidR="00246B10" w:rsidRPr="0063679F">
        <w:t xml:space="preserve"> A </w:t>
      </w:r>
      <w:hyperlink r:id="rId8" w:history="1">
        <w:r w:rsidR="00246B10" w:rsidRPr="0063679F">
          <w:rPr>
            <w:rStyle w:val="Hyperlink"/>
          </w:rPr>
          <w:t>report</w:t>
        </w:r>
      </w:hyperlink>
      <w:r w:rsidR="00246B10" w:rsidRPr="0063679F">
        <w:t xml:space="preserve"> is available via SharePoint to allow you to find instances where modules appear in external departments as Core, Compulsory, Core with Options or Compulsory with Options. The report will show all courses not within the department selected.</w:t>
      </w:r>
    </w:p>
    <w:p w14:paraId="2EEE466E" w14:textId="77777777" w:rsidR="00925E91" w:rsidRPr="00407777" w:rsidRDefault="00925E91" w:rsidP="00CD1D49">
      <w:pPr>
        <w:pStyle w:val="Heading3"/>
        <w:spacing w:line="360" w:lineRule="auto"/>
      </w:pPr>
      <w:r w:rsidRPr="00407777">
        <w:t>Professional Services teams</w:t>
      </w:r>
    </w:p>
    <w:p w14:paraId="0610A6F5" w14:textId="4844CDE5" w:rsidR="00925E91" w:rsidRDefault="45EB3729" w:rsidP="00CD1D49">
      <w:pPr>
        <w:pStyle w:val="ListParagraph"/>
        <w:numPr>
          <w:ilvl w:val="0"/>
          <w:numId w:val="11"/>
        </w:numPr>
        <w:spacing w:line="360" w:lineRule="auto"/>
      </w:pPr>
      <w:r>
        <w:t xml:space="preserve">Departments should consider the impact curriculum changes could have on students, but also the overall functioning of the course itself. Professional Services teams should be consulted for </w:t>
      </w:r>
      <w:r>
        <w:lastRenderedPageBreak/>
        <w:t xml:space="preserve">advice and particularly where they provide support for departments and students who could be affected. </w:t>
      </w:r>
    </w:p>
    <w:p w14:paraId="2D103A75" w14:textId="3E193933" w:rsidR="00925E91" w:rsidRDefault="00925E91" w:rsidP="00CD1D49">
      <w:pPr>
        <w:pStyle w:val="Heading3"/>
        <w:spacing w:line="360" w:lineRule="auto"/>
      </w:pPr>
      <w:r>
        <w:t>Evidencing consultation via Curriculum Update</w:t>
      </w:r>
    </w:p>
    <w:p w14:paraId="48035128" w14:textId="62ABBAB3" w:rsidR="00991AA8" w:rsidRDefault="00925E91" w:rsidP="00CD1D49">
      <w:pPr>
        <w:pStyle w:val="ListParagraph"/>
        <w:numPr>
          <w:ilvl w:val="0"/>
          <w:numId w:val="11"/>
        </w:numPr>
        <w:spacing w:line="360" w:lineRule="auto"/>
      </w:pPr>
      <w:r w:rsidRPr="00925E91">
        <w:t>Details of consultation</w:t>
      </w:r>
      <w:r w:rsidR="00785FC8">
        <w:t xml:space="preserve"> undertaken with other teams </w:t>
      </w:r>
      <w:r w:rsidRPr="00925E91">
        <w:t xml:space="preserve">should be entered into the relevant fields </w:t>
      </w:r>
      <w:r>
        <w:t xml:space="preserve">when submitting tickets </w:t>
      </w:r>
      <w:r w:rsidRPr="00925E91">
        <w:t xml:space="preserve">on </w:t>
      </w:r>
      <w:hyperlink r:id="rId9" w:history="1">
        <w:r w:rsidRPr="00925E91">
          <w:rPr>
            <w:rStyle w:val="Hyperlink"/>
          </w:rPr>
          <w:t>Curriculum Update</w:t>
        </w:r>
      </w:hyperlink>
      <w:r w:rsidRPr="00925E91">
        <w:t>.</w:t>
      </w:r>
    </w:p>
    <w:p w14:paraId="565CF667" w14:textId="17A85F50" w:rsidR="007C1D6D" w:rsidRDefault="007C1D6D">
      <w:pPr>
        <w:snapToGrid/>
        <w:spacing w:after="0" w:line="240" w:lineRule="auto"/>
        <w:rPr>
          <w:rFonts w:asciiTheme="majorHAnsi" w:eastAsiaTheme="majorEastAsia" w:hAnsiTheme="majorHAnsi" w:cstheme="majorBidi"/>
          <w:color w:val="007A87"/>
          <w:sz w:val="36"/>
          <w:szCs w:val="26"/>
        </w:rPr>
      </w:pPr>
    </w:p>
    <w:p w14:paraId="18AD3A1B" w14:textId="66B55A7A" w:rsidR="00925E91" w:rsidRDefault="00991AA8" w:rsidP="00CD1D49">
      <w:pPr>
        <w:pStyle w:val="Heading2"/>
        <w:spacing w:line="360" w:lineRule="auto"/>
      </w:pPr>
      <w:r w:rsidRPr="007C1BE5">
        <w:rPr>
          <w:color w:val="007A87"/>
        </w:rPr>
        <w:t>Introduction</w:t>
      </w:r>
      <w:r>
        <w:t xml:space="preserve"> </w:t>
      </w:r>
    </w:p>
    <w:p w14:paraId="069D07AC" w14:textId="77777777" w:rsidR="00B8424C" w:rsidRDefault="00B8424C" w:rsidP="00CD1D49">
      <w:pPr>
        <w:spacing w:line="360" w:lineRule="auto"/>
      </w:pPr>
      <w:r w:rsidRPr="00991AA8">
        <w:t>The Office for Students</w:t>
      </w:r>
      <w:r>
        <w:t xml:space="preserve"> (OfS)</w:t>
      </w:r>
      <w:r w:rsidRPr="00991AA8">
        <w:t xml:space="preserve">, Quality Assurance Agency </w:t>
      </w:r>
      <w:r>
        <w:t xml:space="preserve">(QAA) </w:t>
      </w:r>
      <w:r w:rsidRPr="00991AA8">
        <w:t>and</w:t>
      </w:r>
      <w:r>
        <w:t xml:space="preserve"> Competition and Markets Authority</w:t>
      </w:r>
      <w:r w:rsidRPr="00991AA8">
        <w:t xml:space="preserve"> </w:t>
      </w:r>
      <w:r>
        <w:t>(</w:t>
      </w:r>
      <w:r w:rsidRPr="00991AA8">
        <w:t>CMA</w:t>
      </w:r>
      <w:r>
        <w:t>)</w:t>
      </w:r>
      <w:r w:rsidRPr="00991AA8">
        <w:t xml:space="preserve"> requirements </w:t>
      </w:r>
      <w:r w:rsidRPr="00991AA8">
        <w:rPr>
          <w:b/>
          <w:bCs/>
        </w:rPr>
        <w:t xml:space="preserve">all highlight the importance of consulting </w:t>
      </w:r>
      <w:r>
        <w:rPr>
          <w:b/>
          <w:bCs/>
        </w:rPr>
        <w:t>over any changes made to the curriculum</w:t>
      </w:r>
      <w:r w:rsidRPr="00991AA8">
        <w:t xml:space="preserve">. This includes clearly setting out any changes in advance, explaining the reasons for making changes, what the likely impact will be, and what students’ options are. </w:t>
      </w:r>
    </w:p>
    <w:p w14:paraId="33BD7778" w14:textId="1CB7AEAE" w:rsidR="00B8424C" w:rsidRDefault="00B8424C" w:rsidP="00CD1D49">
      <w:pPr>
        <w:spacing w:line="360" w:lineRule="auto"/>
      </w:pPr>
      <w:r>
        <w:t xml:space="preserve">As such it’s very important that key stakeholders from within the Department but also across the University are consulted when changes to the curriculum are being planned, and in advance of changes being submitted via </w:t>
      </w:r>
      <w:hyperlink r:id="rId10" w:history="1">
        <w:r w:rsidRPr="00925E91">
          <w:rPr>
            <w:rStyle w:val="Hyperlink"/>
          </w:rPr>
          <w:t>Curriculum Update</w:t>
        </w:r>
      </w:hyperlink>
      <w:r w:rsidRPr="00925E91">
        <w:t>.</w:t>
      </w:r>
      <w:r>
        <w:t xml:space="preserve"> Submitting requests for changes without first consulting with other teams from across the institution may result in changes not being approved. Teams across the University work together collaboratively to enable Departments to teach their curriculum. Not providing enough notice or collaborating with other teams will reduce their ability to adapt and complete their processes in time to allow your proposed changes to happen. </w:t>
      </w:r>
    </w:p>
    <w:p w14:paraId="08A6192F" w14:textId="3D405D15" w:rsidR="009E79E1" w:rsidRDefault="00991AA8" w:rsidP="00CD1D49">
      <w:pPr>
        <w:spacing w:line="360" w:lineRule="auto"/>
      </w:pPr>
      <w:r>
        <w:t xml:space="preserve">Consulting </w:t>
      </w:r>
      <w:r w:rsidR="001819FA">
        <w:t xml:space="preserve">and being transparent </w:t>
      </w:r>
      <w:r>
        <w:t xml:space="preserve">with key stakeholders from within the University </w:t>
      </w:r>
      <w:r w:rsidRPr="001719A9">
        <w:t xml:space="preserve">can help to decide what changes to make and see what information is needed to support </w:t>
      </w:r>
      <w:r w:rsidR="001819FA">
        <w:t>requests.</w:t>
      </w:r>
      <w:r w:rsidRPr="001719A9">
        <w:t xml:space="preserve"> </w:t>
      </w:r>
      <w:r w:rsidR="00B8424C" w:rsidRPr="00B8424C">
        <w:t xml:space="preserve">Real and meaningful change </w:t>
      </w:r>
      <w:r w:rsidR="00B8424C">
        <w:t xml:space="preserve">to the curriculum </w:t>
      </w:r>
      <w:r w:rsidR="00B8424C" w:rsidRPr="00B8424C">
        <w:t xml:space="preserve">takes time and almost always comes with challenges. </w:t>
      </w:r>
      <w:r w:rsidR="00B8424C">
        <w:t>When planning your changes build in space for collaborative discussion and time for providing information to other teams</w:t>
      </w:r>
      <w:r w:rsidR="00B8424C" w:rsidRPr="00B8424C">
        <w:t xml:space="preserve">. </w:t>
      </w:r>
      <w:r w:rsidR="00B8424C">
        <w:t>Become familiar with what information is required by other teams to enable them to support you in making curriculum changes and prepare your approach with this in mind.</w:t>
      </w:r>
    </w:p>
    <w:p w14:paraId="1058A3C7" w14:textId="36BDCE68" w:rsidR="009E79E1" w:rsidRPr="0046187A" w:rsidRDefault="00C9039A" w:rsidP="00CD1D49">
      <w:pPr>
        <w:spacing w:line="360" w:lineRule="auto"/>
      </w:pPr>
      <w:r w:rsidRPr="001819FA">
        <w:rPr>
          <w:rStyle w:val="Heading3Char"/>
        </w:rPr>
        <w:lastRenderedPageBreak/>
        <w:t>Which key stakeholders should be consulted</w:t>
      </w:r>
      <w:r w:rsidR="00737FAB" w:rsidRPr="001819FA">
        <w:rPr>
          <w:rStyle w:val="Heading3Char"/>
        </w:rPr>
        <w:t>?</w:t>
      </w:r>
      <w:r w:rsidR="0028558B">
        <w:t xml:space="preserve">  </w:t>
      </w:r>
      <w:r w:rsidR="0028558B" w:rsidRPr="004445FA">
        <w:rPr>
          <w:rFonts w:ascii="Arial" w:hAnsi="Arial" w:cs="Arial"/>
          <w:b/>
          <w:noProof/>
          <w:lang w:eastAsia="en-GB"/>
        </w:rPr>
        <w:drawing>
          <wp:inline distT="0" distB="0" distL="0" distR="0" wp14:anchorId="2BCA27DF" wp14:editId="454C04DF">
            <wp:extent cx="4786008" cy="3239135"/>
            <wp:effectExtent l="0" t="0" r="1905" b="0"/>
            <wp:docPr id="4" name="Diagram 4" descr="List of key stakeholders:&#10;QUAD&#10;Central Timetabling and Room Bookings&#10;Immigration and visa requirements&#10;Technology-Enhanced Learning&#10;Apprenticeships&#10;Resources&#10;University Polici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28FE3F2" w14:textId="3CA49A53" w:rsidR="00B95996" w:rsidRDefault="00B95996" w:rsidP="00CD1D49">
      <w:pPr>
        <w:pStyle w:val="Heading3"/>
        <w:spacing w:line="360" w:lineRule="auto"/>
      </w:pPr>
      <w:bookmarkStart w:id="0" w:name="_Quality_and_Academic"/>
      <w:bookmarkEnd w:id="0"/>
      <w:r>
        <w:t>Quality and Academic Development</w:t>
      </w:r>
    </w:p>
    <w:p w14:paraId="3EFE46C3" w14:textId="75DB3624" w:rsidR="00B95996" w:rsidRDefault="00B95996" w:rsidP="00CD1D49">
      <w:pPr>
        <w:pStyle w:val="ListParagraph"/>
        <w:numPr>
          <w:ilvl w:val="0"/>
          <w:numId w:val="11"/>
        </w:numPr>
        <w:spacing w:line="360" w:lineRule="auto"/>
      </w:pPr>
      <w:r>
        <w:t xml:space="preserve">Review our </w:t>
      </w:r>
      <w:hyperlink r:id="rId16" w:history="1">
        <w:r w:rsidRPr="00B95996">
          <w:rPr>
            <w:rStyle w:val="Hyperlink"/>
          </w:rPr>
          <w:t>webpages</w:t>
        </w:r>
      </w:hyperlink>
      <w:r>
        <w:t xml:space="preserve"> to see the guidance and advice on consulting with QUAD, but also requirements regarding consulting with students and externals.</w:t>
      </w:r>
      <w:r w:rsidR="007D12BB">
        <w:t xml:space="preserve"> When assessment and teaching cross academic years, this can cause system issues — but these can be avoided with appropriate discussions before course approvals which will allow structures to be set up correctly by Course Records.</w:t>
      </w:r>
    </w:p>
    <w:p w14:paraId="79D76D92" w14:textId="39C219BB" w:rsidR="00302079" w:rsidRDefault="00B95996" w:rsidP="003A5C7E">
      <w:pPr>
        <w:pBdr>
          <w:top w:val="single" w:sz="18" w:space="1" w:color="007A87"/>
          <w:left w:val="single" w:sz="18" w:space="4" w:color="007A87"/>
          <w:bottom w:val="single" w:sz="18" w:space="1" w:color="007A87"/>
          <w:right w:val="single" w:sz="18" w:space="4" w:color="007A87"/>
        </w:pBdr>
        <w:spacing w:line="360" w:lineRule="auto"/>
        <w:ind w:left="720" w:hanging="360"/>
      </w:pPr>
      <w:r>
        <w:t xml:space="preserve">Queries should be sent to </w:t>
      </w:r>
      <w:hyperlink r:id="rId17" w:history="1">
        <w:r w:rsidR="00DF560A" w:rsidRPr="00142D36">
          <w:rPr>
            <w:rStyle w:val="Hyperlink"/>
          </w:rPr>
          <w:t>quad@essex.ac.uk</w:t>
        </w:r>
      </w:hyperlink>
      <w:r w:rsidR="00DF560A">
        <w:t xml:space="preserve"> and</w:t>
      </w:r>
      <w:r w:rsidR="004E30B1">
        <w:t>/or</w:t>
      </w:r>
      <w:r w:rsidR="00DF560A">
        <w:t xml:space="preserve"> </w:t>
      </w:r>
      <w:hyperlink r:id="rId18" w:history="1">
        <w:r w:rsidR="00DF560A" w:rsidRPr="00142D36">
          <w:rPr>
            <w:rStyle w:val="Hyperlink"/>
          </w:rPr>
          <w:t>crt@essex.ac.uk</w:t>
        </w:r>
      </w:hyperlink>
      <w:r w:rsidR="00DF560A">
        <w:t xml:space="preserve"> </w:t>
      </w:r>
      <w:bookmarkStart w:id="1" w:name="_Central_Timetabling_and"/>
      <w:bookmarkEnd w:id="1"/>
    </w:p>
    <w:p w14:paraId="04943611" w14:textId="3E0C52F6" w:rsidR="00A10A97" w:rsidRDefault="00A10A97" w:rsidP="00CD1D49">
      <w:pPr>
        <w:pStyle w:val="Heading3"/>
        <w:spacing w:line="360" w:lineRule="auto"/>
      </w:pPr>
      <w:r>
        <w:t>Central Timetabling and Room Bookings</w:t>
      </w:r>
    </w:p>
    <w:p w14:paraId="185B8671" w14:textId="71FF3BE7" w:rsidR="001C3B71" w:rsidRDefault="002D04A9" w:rsidP="00CD1D49">
      <w:pPr>
        <w:pStyle w:val="ListParagraph"/>
        <w:numPr>
          <w:ilvl w:val="0"/>
          <w:numId w:val="11"/>
        </w:numPr>
        <w:spacing w:line="360" w:lineRule="auto"/>
      </w:pPr>
      <w:r>
        <w:t>Consider the d</w:t>
      </w:r>
      <w:r w:rsidR="009F154A">
        <w:t xml:space="preserve">eadlines for submitting changes and how </w:t>
      </w:r>
      <w:r w:rsidR="00765EA1">
        <w:t>this impact</w:t>
      </w:r>
      <w:r w:rsidR="002D67BB">
        <w:t>s</w:t>
      </w:r>
      <w:r w:rsidR="00765EA1">
        <w:t xml:space="preserve"> timetable construction</w:t>
      </w:r>
      <w:r w:rsidR="009F154A">
        <w:t xml:space="preserve">. </w:t>
      </w:r>
      <w:r w:rsidR="00234D7C">
        <w:t>Request</w:t>
      </w:r>
      <w:r>
        <w:t xml:space="preserve">s for </w:t>
      </w:r>
      <w:r w:rsidR="00234D7C">
        <w:t xml:space="preserve">rooms </w:t>
      </w:r>
      <w:r>
        <w:t>to meet</w:t>
      </w:r>
      <w:r w:rsidR="00234D7C">
        <w:t xml:space="preserve"> special requirements</w:t>
      </w:r>
      <w:r>
        <w:t xml:space="preserve"> will need to be submitted as early as possible to ensure requirements can be met.</w:t>
      </w:r>
    </w:p>
    <w:p w14:paraId="2647DFE3" w14:textId="60D829DA" w:rsidR="009F154A" w:rsidRDefault="002D04A9" w:rsidP="00CD1D49">
      <w:pPr>
        <w:pStyle w:val="ListParagraph"/>
        <w:numPr>
          <w:ilvl w:val="0"/>
          <w:numId w:val="11"/>
        </w:numPr>
        <w:spacing w:line="360" w:lineRule="auto"/>
      </w:pPr>
      <w:r>
        <w:t>Consider the i</w:t>
      </w:r>
      <w:r w:rsidR="009F154A">
        <w:t>mpact of late changes</w:t>
      </w:r>
      <w:r w:rsidR="00CB1410">
        <w:t xml:space="preserve"> on timetabling and booking of teaching space. </w:t>
      </w:r>
      <w:r>
        <w:t xml:space="preserve">Late changes to courses require late changes to the timetable and late booking of spaces. </w:t>
      </w:r>
    </w:p>
    <w:p w14:paraId="2DE7C123" w14:textId="25EC6A5D" w:rsidR="00302079" w:rsidRDefault="00B43667" w:rsidP="003A5C7E">
      <w:pPr>
        <w:pBdr>
          <w:top w:val="single" w:sz="18" w:space="1" w:color="007A87"/>
          <w:left w:val="single" w:sz="18" w:space="4" w:color="007A87"/>
          <w:bottom w:val="single" w:sz="18" w:space="1" w:color="007A87"/>
          <w:right w:val="single" w:sz="18" w:space="4" w:color="007A87"/>
        </w:pBdr>
        <w:spacing w:line="360" w:lineRule="auto"/>
        <w:ind w:left="360"/>
      </w:pPr>
      <w:r>
        <w:rPr>
          <w:rFonts w:ascii="Arial" w:hAnsi="Arial" w:cs="Arial"/>
          <w:color w:val="333333"/>
        </w:rPr>
        <w:t xml:space="preserve">Queries relating to the teaching timetable should be channelled through the departmental contact. </w:t>
      </w:r>
      <w:r w:rsidR="00BC69D4">
        <w:rPr>
          <w:rFonts w:ascii="Arial" w:hAnsi="Arial" w:cs="Arial"/>
          <w:color w:val="333333"/>
        </w:rPr>
        <w:t xml:space="preserve">Find the </w:t>
      </w:r>
      <w:hyperlink r:id="rId19" w:history="1">
        <w:r w:rsidR="00BC69D4" w:rsidRPr="00BC69D4">
          <w:rPr>
            <w:rStyle w:val="Hyperlink"/>
            <w:rFonts w:ascii="Arial" w:hAnsi="Arial" w:cs="Arial"/>
          </w:rPr>
          <w:t>relevant contact</w:t>
        </w:r>
      </w:hyperlink>
      <w:r w:rsidR="00BC69D4">
        <w:rPr>
          <w:rFonts w:ascii="Arial" w:hAnsi="Arial" w:cs="Arial"/>
          <w:color w:val="333333"/>
        </w:rPr>
        <w:t xml:space="preserve"> for your timetabling query and the timetabling policy. </w:t>
      </w:r>
      <w:r w:rsidR="00437202">
        <w:t xml:space="preserve">  </w:t>
      </w:r>
      <w:r w:rsidR="45EB3729">
        <w:t xml:space="preserve">Email: </w:t>
      </w:r>
      <w:hyperlink r:id="rId20" w:history="1">
        <w:r w:rsidR="00193889" w:rsidRPr="00FF20A4">
          <w:rPr>
            <w:rStyle w:val="Hyperlink"/>
          </w:rPr>
          <w:t>cto@essex.ac.uk</w:t>
        </w:r>
      </w:hyperlink>
      <w:r w:rsidR="00193889">
        <w:t xml:space="preserve"> </w:t>
      </w:r>
      <w:bookmarkStart w:id="2" w:name="_Immigration_and_visa"/>
      <w:bookmarkEnd w:id="2"/>
    </w:p>
    <w:p w14:paraId="775DC9D3" w14:textId="664B42FA" w:rsidR="00A10A97" w:rsidRDefault="00A10A97" w:rsidP="00CD1D49">
      <w:pPr>
        <w:pStyle w:val="Heading3"/>
        <w:spacing w:line="360" w:lineRule="auto"/>
      </w:pPr>
      <w:r w:rsidRPr="0028558B">
        <w:lastRenderedPageBreak/>
        <w:t xml:space="preserve">Immigration and </w:t>
      </w:r>
      <w:r w:rsidR="00A82CBD">
        <w:t>Student V</w:t>
      </w:r>
      <w:r w:rsidRPr="0028558B">
        <w:t xml:space="preserve">isa requirements </w:t>
      </w:r>
    </w:p>
    <w:p w14:paraId="26391816" w14:textId="1DEBE7D7" w:rsidR="00A10A97" w:rsidRPr="00C52652" w:rsidRDefault="00FB6C9C" w:rsidP="00CD1D49">
      <w:pPr>
        <w:pStyle w:val="ListParagraph"/>
        <w:numPr>
          <w:ilvl w:val="0"/>
          <w:numId w:val="11"/>
        </w:numPr>
        <w:spacing w:line="360" w:lineRule="auto"/>
      </w:pPr>
      <w:r w:rsidRPr="00C52652">
        <w:t xml:space="preserve">You should consult at an early stage to ensure </w:t>
      </w:r>
      <w:r w:rsidR="002D04A9" w:rsidRPr="00C52652">
        <w:t>that any changes you are proposing</w:t>
      </w:r>
      <w:r w:rsidRPr="00C52652">
        <w:t xml:space="preserve"> compl</w:t>
      </w:r>
      <w:r w:rsidR="002D04A9" w:rsidRPr="00C52652">
        <w:t>y</w:t>
      </w:r>
      <w:r w:rsidRPr="00C52652">
        <w:t xml:space="preserve"> with all relevant requirements for international students and that courses are designed to allow for teaching and assessment periods to fall within the CAS dates for students. </w:t>
      </w:r>
      <w:r w:rsidR="002D04A9" w:rsidRPr="00C52652">
        <w:t>Consider the s</w:t>
      </w:r>
      <w:r w:rsidRPr="00C52652">
        <w:t xml:space="preserve">tart and end date of </w:t>
      </w:r>
      <w:r w:rsidR="002D04A9" w:rsidRPr="00C52652">
        <w:t>modules</w:t>
      </w:r>
      <w:r w:rsidRPr="00C52652">
        <w:t xml:space="preserve"> (including the assessment and teaching periods, where releva</w:t>
      </w:r>
      <w:r w:rsidR="002D04A9" w:rsidRPr="00C52652">
        <w:t>nt) and</w:t>
      </w:r>
      <w:r w:rsidRPr="00C52652">
        <w:t xml:space="preserve"> ensure the final assessment deadlines fall within the student registration and CAS dates.</w:t>
      </w:r>
    </w:p>
    <w:p w14:paraId="0123F69C" w14:textId="082CFE97" w:rsidR="00640C86" w:rsidRDefault="009F154A" w:rsidP="00CD1D49">
      <w:pPr>
        <w:pStyle w:val="ListParagraph"/>
        <w:numPr>
          <w:ilvl w:val="0"/>
          <w:numId w:val="11"/>
        </w:numPr>
        <w:spacing w:line="360" w:lineRule="auto"/>
      </w:pPr>
      <w:r w:rsidRPr="00C52652">
        <w:t xml:space="preserve">Consider the needs of home and international students. </w:t>
      </w:r>
      <w:proofErr w:type="gramStart"/>
      <w:r w:rsidR="00FB6C9C" w:rsidRPr="00C52652">
        <w:t>Take into account</w:t>
      </w:r>
      <w:proofErr w:type="gramEnd"/>
      <w:r w:rsidR="002D04A9" w:rsidRPr="00C52652">
        <w:t xml:space="preserve"> how changes will impact and be received by</w:t>
      </w:r>
      <w:r w:rsidR="00FB6C9C" w:rsidRPr="00C52652">
        <w:t xml:space="preserve"> overseas students</w:t>
      </w:r>
      <w:r w:rsidR="002D04A9" w:rsidRPr="00C52652">
        <w:t>.</w:t>
      </w:r>
    </w:p>
    <w:p w14:paraId="15B32953" w14:textId="20F0C21B" w:rsidR="00A82CBD" w:rsidRPr="00A82CBD" w:rsidRDefault="00A82CBD" w:rsidP="00A82CBD">
      <w:pPr>
        <w:pStyle w:val="ListParagraph"/>
        <w:numPr>
          <w:ilvl w:val="0"/>
          <w:numId w:val="11"/>
        </w:numPr>
        <w:spacing w:line="360" w:lineRule="auto"/>
      </w:pPr>
      <w:r w:rsidRPr="00A82CBD">
        <w:t>C</w:t>
      </w:r>
      <w:r w:rsidRPr="00A82CBD">
        <w:t>onsult early with IST to ensure course changes do not unintentionally affect visa eligibility or periods of leave</w:t>
      </w:r>
    </w:p>
    <w:p w14:paraId="6675BFAC" w14:textId="77777777" w:rsidR="00A82CBD" w:rsidRDefault="002D04A9" w:rsidP="003A5C7E">
      <w:pPr>
        <w:pStyle w:val="ListParagraph"/>
        <w:numPr>
          <w:ilvl w:val="0"/>
          <w:numId w:val="11"/>
        </w:numPr>
        <w:spacing w:line="360" w:lineRule="auto"/>
      </w:pPr>
      <w:r w:rsidRPr="00C52652">
        <w:t>When making changes to PGT January starts, consider the following requirements:</w:t>
      </w:r>
    </w:p>
    <w:p w14:paraId="1D813C79" w14:textId="77777777" w:rsidR="00A82CBD" w:rsidRPr="00A82CBD" w:rsidRDefault="003A5C7E" w:rsidP="00AC1A28">
      <w:pPr>
        <w:spacing w:line="360" w:lineRule="auto"/>
        <w:ind w:left="360" w:right="396"/>
      </w:pPr>
      <w:r w:rsidRPr="00AC1A28">
        <w:rPr>
          <w:rFonts w:ascii="Arial" w:hAnsi="Arial" w:cs="Arial"/>
          <w:color w:val="auto"/>
        </w:rPr>
        <w:t xml:space="preserve">Academic departments should be aware that in accordance with Home Office Immigration Rules, students studying on a course less than 12 months in duration will be given an additional 2-months wrap-up period after their CAS end date. Students studying on a course of 12 months or more in duration will be given an additional 4-months wrap-up period after their CAS end date. </w:t>
      </w:r>
    </w:p>
    <w:p w14:paraId="543FF327" w14:textId="79752109" w:rsidR="003A5C7E" w:rsidRPr="00A82CBD" w:rsidRDefault="003A5C7E" w:rsidP="00AC1A28">
      <w:pPr>
        <w:spacing w:line="360" w:lineRule="auto"/>
        <w:ind w:left="360" w:right="396"/>
      </w:pPr>
      <w:r w:rsidRPr="00AC1A28">
        <w:rPr>
          <w:rFonts w:ascii="Arial" w:hAnsi="Arial" w:cs="Arial"/>
          <w:color w:val="auto"/>
        </w:rPr>
        <w:t xml:space="preserve">To enable Student visa holders to be admitted, all </w:t>
      </w:r>
      <w:proofErr w:type="gramStart"/>
      <w:r w:rsidRPr="00AC1A28">
        <w:rPr>
          <w:rFonts w:ascii="Arial" w:hAnsi="Arial" w:cs="Arial"/>
          <w:color w:val="auto"/>
        </w:rPr>
        <w:t>Masters</w:t>
      </w:r>
      <w:proofErr w:type="gramEnd"/>
      <w:r w:rsidRPr="00AC1A28">
        <w:rPr>
          <w:rFonts w:ascii="Arial" w:hAnsi="Arial" w:cs="Arial"/>
          <w:color w:val="auto"/>
        </w:rPr>
        <w:t xml:space="preserve"> courses (whether October or Jan start) should conform to the following:</w:t>
      </w:r>
    </w:p>
    <w:p w14:paraId="5FE19BF5" w14:textId="04C1A483" w:rsidR="003A5C7E" w:rsidRPr="003A5C7E" w:rsidRDefault="003A5C7E" w:rsidP="00AC1A28">
      <w:pPr>
        <w:numPr>
          <w:ilvl w:val="0"/>
          <w:numId w:val="16"/>
        </w:numPr>
        <w:pBdr>
          <w:top w:val="single" w:sz="4" w:space="1" w:color="auto"/>
          <w:left w:val="single" w:sz="4" w:space="4" w:color="auto"/>
          <w:bottom w:val="single" w:sz="4" w:space="1" w:color="auto"/>
          <w:right w:val="single" w:sz="4" w:space="4" w:color="auto"/>
        </w:pBdr>
        <w:snapToGrid/>
        <w:spacing w:line="240" w:lineRule="auto"/>
        <w:ind w:left="851" w:right="538" w:hanging="357"/>
        <w:rPr>
          <w:color w:val="auto"/>
          <w:sz w:val="28"/>
          <w:szCs w:val="28"/>
        </w:rPr>
      </w:pPr>
      <w:r w:rsidRPr="003A5C7E">
        <w:rPr>
          <w:rFonts w:ascii="Arial" w:hAnsi="Arial" w:cs="Arial"/>
          <w:color w:val="auto"/>
          <w:sz w:val="22"/>
          <w:szCs w:val="22"/>
        </w:rPr>
        <w:t>All compulsory teaching and academic contact points should be in-person. Remote delivery is not permitted.</w:t>
      </w:r>
    </w:p>
    <w:p w14:paraId="6D28F977" w14:textId="77777777" w:rsidR="003A5C7E" w:rsidRPr="003A5C7E" w:rsidRDefault="003A5C7E" w:rsidP="00AC1A28">
      <w:pPr>
        <w:numPr>
          <w:ilvl w:val="0"/>
          <w:numId w:val="16"/>
        </w:numPr>
        <w:pBdr>
          <w:top w:val="single" w:sz="4" w:space="1" w:color="auto"/>
          <w:left w:val="single" w:sz="4" w:space="4" w:color="auto"/>
          <w:bottom w:val="single" w:sz="4" w:space="1" w:color="auto"/>
          <w:right w:val="single" w:sz="4" w:space="4" w:color="auto"/>
        </w:pBdr>
        <w:snapToGrid/>
        <w:spacing w:line="240" w:lineRule="auto"/>
        <w:ind w:left="851" w:right="538" w:hanging="357"/>
        <w:rPr>
          <w:rFonts w:ascii="Arial" w:hAnsi="Arial" w:cs="Arial"/>
          <w:b/>
          <w:bCs/>
          <w:color w:val="auto"/>
          <w:sz w:val="22"/>
          <w:szCs w:val="22"/>
        </w:rPr>
      </w:pPr>
      <w:r w:rsidRPr="003A5C7E">
        <w:rPr>
          <w:rFonts w:ascii="Arial" w:hAnsi="Arial" w:cs="Arial"/>
          <w:color w:val="auto"/>
          <w:sz w:val="22"/>
          <w:szCs w:val="22"/>
        </w:rPr>
        <w:t>They should have</w:t>
      </w:r>
      <w:r w:rsidRPr="003A5C7E">
        <w:rPr>
          <w:rFonts w:ascii="Arial" w:hAnsi="Arial" w:cs="Arial"/>
          <w:b/>
          <w:bCs/>
          <w:color w:val="auto"/>
          <w:sz w:val="22"/>
          <w:szCs w:val="22"/>
        </w:rPr>
        <w:t xml:space="preserve"> no more than a total of 8 weeks’ vacation time </w:t>
      </w:r>
      <w:r w:rsidRPr="003A5C7E">
        <w:rPr>
          <w:rFonts w:ascii="Arial" w:hAnsi="Arial" w:cs="Arial"/>
          <w:color w:val="auto"/>
          <w:sz w:val="22"/>
          <w:szCs w:val="22"/>
        </w:rPr>
        <w:t>across the programme.</w:t>
      </w:r>
    </w:p>
    <w:p w14:paraId="57F746E9" w14:textId="77777777" w:rsidR="003A5C7E" w:rsidRPr="003A5C7E" w:rsidRDefault="003A5C7E" w:rsidP="00AC1A28">
      <w:pPr>
        <w:numPr>
          <w:ilvl w:val="0"/>
          <w:numId w:val="16"/>
        </w:numPr>
        <w:pBdr>
          <w:top w:val="single" w:sz="4" w:space="1" w:color="auto"/>
          <w:left w:val="single" w:sz="4" w:space="4" w:color="auto"/>
          <w:bottom w:val="single" w:sz="4" w:space="1" w:color="auto"/>
          <w:right w:val="single" w:sz="4" w:space="4" w:color="auto"/>
        </w:pBdr>
        <w:snapToGrid/>
        <w:spacing w:line="240" w:lineRule="auto"/>
        <w:ind w:left="851" w:right="538" w:hanging="357"/>
        <w:rPr>
          <w:rFonts w:ascii="Arial" w:hAnsi="Arial" w:cs="Arial"/>
          <w:b/>
          <w:bCs/>
          <w:color w:val="auto"/>
          <w:sz w:val="22"/>
          <w:szCs w:val="22"/>
        </w:rPr>
      </w:pPr>
      <w:r w:rsidRPr="003A5C7E">
        <w:rPr>
          <w:rFonts w:ascii="Arial" w:hAnsi="Arial" w:cs="Arial"/>
          <w:color w:val="auto"/>
          <w:sz w:val="22"/>
          <w:szCs w:val="22"/>
        </w:rPr>
        <w:t>The formal</w:t>
      </w:r>
      <w:r w:rsidRPr="003A5C7E">
        <w:rPr>
          <w:rFonts w:ascii="Arial" w:hAnsi="Arial" w:cs="Arial"/>
          <w:b/>
          <w:bCs/>
          <w:color w:val="auto"/>
          <w:sz w:val="22"/>
          <w:szCs w:val="22"/>
        </w:rPr>
        <w:t xml:space="preserve"> course end date </w:t>
      </w:r>
      <w:r w:rsidRPr="003A5C7E">
        <w:rPr>
          <w:rFonts w:ascii="Arial" w:hAnsi="Arial" w:cs="Arial"/>
          <w:color w:val="auto"/>
          <w:sz w:val="22"/>
          <w:szCs w:val="22"/>
        </w:rPr>
        <w:t>as stated on a</w:t>
      </w:r>
      <w:r w:rsidRPr="003A5C7E">
        <w:rPr>
          <w:rFonts w:ascii="Arial" w:hAnsi="Arial" w:cs="Arial"/>
          <w:b/>
          <w:bCs/>
          <w:color w:val="auto"/>
          <w:sz w:val="22"/>
          <w:szCs w:val="22"/>
        </w:rPr>
        <w:t xml:space="preserve"> student’s CAS </w:t>
      </w:r>
      <w:r w:rsidRPr="003A5C7E">
        <w:rPr>
          <w:rFonts w:ascii="Arial" w:hAnsi="Arial" w:cs="Arial"/>
          <w:color w:val="auto"/>
          <w:sz w:val="22"/>
          <w:szCs w:val="22"/>
        </w:rPr>
        <w:t>should reflect the</w:t>
      </w:r>
      <w:r w:rsidRPr="003A5C7E">
        <w:rPr>
          <w:rFonts w:ascii="Arial" w:hAnsi="Arial" w:cs="Arial"/>
          <w:b/>
          <w:bCs/>
          <w:color w:val="auto"/>
          <w:sz w:val="22"/>
          <w:szCs w:val="22"/>
        </w:rPr>
        <w:t xml:space="preserve"> last point of academic engagement </w:t>
      </w:r>
      <w:r w:rsidRPr="003A5C7E">
        <w:rPr>
          <w:rFonts w:ascii="Arial" w:hAnsi="Arial" w:cs="Arial"/>
          <w:color w:val="auto"/>
          <w:sz w:val="22"/>
          <w:szCs w:val="22"/>
        </w:rPr>
        <w:t>for the course.</w:t>
      </w:r>
      <w:r w:rsidRPr="003A5C7E">
        <w:rPr>
          <w:rFonts w:ascii="Arial" w:hAnsi="Arial" w:cs="Arial"/>
          <w:b/>
          <w:bCs/>
          <w:color w:val="auto"/>
          <w:sz w:val="22"/>
          <w:szCs w:val="22"/>
        </w:rPr>
        <w:t xml:space="preserve"> </w:t>
      </w:r>
    </w:p>
    <w:p w14:paraId="44683C13" w14:textId="77777777" w:rsidR="003A5C7E" w:rsidRPr="003A5C7E" w:rsidRDefault="003A5C7E" w:rsidP="00AC1A28">
      <w:pPr>
        <w:numPr>
          <w:ilvl w:val="0"/>
          <w:numId w:val="16"/>
        </w:numPr>
        <w:pBdr>
          <w:top w:val="single" w:sz="4" w:space="1" w:color="auto"/>
          <w:left w:val="single" w:sz="4" w:space="4" w:color="auto"/>
          <w:bottom w:val="single" w:sz="4" w:space="1" w:color="auto"/>
          <w:right w:val="single" w:sz="4" w:space="4" w:color="auto"/>
        </w:pBdr>
        <w:snapToGrid/>
        <w:spacing w:line="240" w:lineRule="auto"/>
        <w:ind w:left="851" w:right="538" w:hanging="357"/>
        <w:rPr>
          <w:rFonts w:ascii="Arial" w:hAnsi="Arial" w:cs="Arial"/>
          <w:b/>
          <w:bCs/>
          <w:color w:val="auto"/>
          <w:sz w:val="22"/>
          <w:szCs w:val="22"/>
        </w:rPr>
      </w:pPr>
      <w:r w:rsidRPr="003A5C7E">
        <w:rPr>
          <w:rFonts w:ascii="Arial" w:hAnsi="Arial" w:cs="Arial"/>
          <w:color w:val="auto"/>
          <w:sz w:val="22"/>
          <w:szCs w:val="22"/>
        </w:rPr>
        <w:t>There should be</w:t>
      </w:r>
      <w:r w:rsidRPr="003A5C7E">
        <w:rPr>
          <w:rFonts w:ascii="Arial" w:hAnsi="Arial" w:cs="Arial"/>
          <w:b/>
          <w:bCs/>
          <w:color w:val="auto"/>
          <w:sz w:val="22"/>
          <w:szCs w:val="22"/>
        </w:rPr>
        <w:t xml:space="preserve"> academic engagement after Christmas</w:t>
      </w:r>
      <w:r w:rsidRPr="003A5C7E">
        <w:rPr>
          <w:rFonts w:ascii="Arial" w:hAnsi="Arial" w:cs="Arial"/>
          <w:color w:val="auto"/>
          <w:sz w:val="22"/>
          <w:szCs w:val="22"/>
        </w:rPr>
        <w:t>, taking into consideration</w:t>
      </w:r>
      <w:r w:rsidRPr="003A5C7E">
        <w:rPr>
          <w:rFonts w:ascii="Arial" w:hAnsi="Arial" w:cs="Arial"/>
          <w:b/>
          <w:bCs/>
          <w:color w:val="auto"/>
          <w:sz w:val="22"/>
          <w:szCs w:val="22"/>
        </w:rPr>
        <w:t xml:space="preserve"> when Accommodation contracts end earlier than the course end date </w:t>
      </w:r>
      <w:r w:rsidRPr="003A5C7E">
        <w:rPr>
          <w:rFonts w:ascii="Arial" w:hAnsi="Arial" w:cs="Arial"/>
          <w:color w:val="auto"/>
          <w:sz w:val="22"/>
          <w:szCs w:val="22"/>
        </w:rPr>
        <w:t>for students (before Christmas)</w:t>
      </w:r>
      <w:r w:rsidRPr="003A5C7E">
        <w:rPr>
          <w:rFonts w:ascii="Arial" w:hAnsi="Arial" w:cs="Arial"/>
          <w:b/>
          <w:bCs/>
          <w:color w:val="auto"/>
          <w:sz w:val="22"/>
          <w:szCs w:val="22"/>
        </w:rPr>
        <w:t xml:space="preserve"> </w:t>
      </w:r>
      <w:r w:rsidRPr="003A5C7E">
        <w:rPr>
          <w:rFonts w:ascii="Arial" w:hAnsi="Arial" w:cs="Arial"/>
          <w:color w:val="auto"/>
          <w:sz w:val="22"/>
          <w:szCs w:val="22"/>
        </w:rPr>
        <w:t>and how this could impact their engagement in on campus activities.</w:t>
      </w:r>
    </w:p>
    <w:p w14:paraId="1EF6D9D3" w14:textId="77777777" w:rsidR="00AE7550" w:rsidRDefault="00AE7550" w:rsidP="003A5C7E">
      <w:pPr>
        <w:pStyle w:val="NormalWeb"/>
        <w:spacing w:after="0" w:line="360" w:lineRule="auto"/>
        <w:rPr>
          <w:rFonts w:ascii="Arial" w:eastAsia="Arial" w:hAnsi="Arial" w:cs="Arial"/>
          <w:color w:val="404040"/>
          <w:sz w:val="22"/>
        </w:rPr>
      </w:pPr>
    </w:p>
    <w:p w14:paraId="5F18E685" w14:textId="1E7038AE" w:rsidR="00AE7550" w:rsidRDefault="00AE7550" w:rsidP="003A5C7E">
      <w:pPr>
        <w:pBdr>
          <w:top w:val="single" w:sz="18" w:space="1" w:color="007A87"/>
          <w:left w:val="single" w:sz="18" w:space="4" w:color="007A87"/>
          <w:bottom w:val="single" w:sz="18" w:space="1" w:color="007A87"/>
          <w:right w:val="single" w:sz="18" w:space="4" w:color="007A87"/>
        </w:pBdr>
        <w:spacing w:line="360" w:lineRule="auto"/>
      </w:pPr>
      <w:r>
        <w:t>For further queries contact the International Services Team via ema</w:t>
      </w:r>
      <w:r w:rsidRPr="008453D8">
        <w:t xml:space="preserve">il: </w:t>
      </w:r>
      <w:hyperlink r:id="rId21" w:history="1">
        <w:r w:rsidRPr="008453D8">
          <w:rPr>
            <w:rFonts w:ascii="Arial" w:eastAsia="Calibri" w:hAnsi="Arial" w:cs="Arial"/>
            <w:color w:val="0000FF"/>
            <w:u w:val="single"/>
          </w:rPr>
          <w:t>international@essex.ac.uk</w:t>
        </w:r>
      </w:hyperlink>
    </w:p>
    <w:p w14:paraId="70997B88" w14:textId="0FEC8E83" w:rsidR="00693436" w:rsidRDefault="00693436" w:rsidP="00CD1D49">
      <w:pPr>
        <w:pStyle w:val="Heading3"/>
        <w:spacing w:line="360" w:lineRule="auto"/>
      </w:pPr>
      <w:bookmarkStart w:id="3" w:name="_Technology-Enhanced_Learning"/>
      <w:bookmarkEnd w:id="3"/>
      <w:r w:rsidRPr="006B5177">
        <w:t>Technology-Enhanced Learning</w:t>
      </w:r>
    </w:p>
    <w:p w14:paraId="2A8A1855" w14:textId="73C808E1" w:rsidR="00CB3387" w:rsidRPr="009D0C90" w:rsidRDefault="006B5177" w:rsidP="009D0C90">
      <w:pPr>
        <w:pStyle w:val="ListParagraph"/>
        <w:numPr>
          <w:ilvl w:val="0"/>
          <w:numId w:val="11"/>
        </w:numPr>
        <w:spacing w:line="360" w:lineRule="auto"/>
        <w:rPr>
          <w:rFonts w:ascii="Arial" w:hAnsi="Arial" w:cs="Arial"/>
          <w:color w:val="333333"/>
        </w:rPr>
      </w:pPr>
      <w:r>
        <w:t xml:space="preserve">The TEL team provide </w:t>
      </w:r>
      <w:r>
        <w:rPr>
          <w:rFonts w:ascii="Arial" w:hAnsi="Arial" w:cs="Arial"/>
          <w:color w:val="333333"/>
        </w:rPr>
        <w:t>advice, training and support on most forms of educational technology. They can help you with </w:t>
      </w:r>
      <w:r>
        <w:rPr>
          <w:rStyle w:val="Strong"/>
          <w:rFonts w:ascii="Arial" w:hAnsi="Arial" w:cs="Arial"/>
          <w:b w:val="0"/>
          <w:bCs w:val="0"/>
          <w:color w:val="333333"/>
        </w:rPr>
        <w:t>Moodle</w:t>
      </w:r>
      <w:r>
        <w:rPr>
          <w:rFonts w:ascii="Arial" w:hAnsi="Arial" w:cs="Arial"/>
          <w:color w:val="333333"/>
        </w:rPr>
        <w:t>, </w:t>
      </w:r>
      <w:r>
        <w:rPr>
          <w:rStyle w:val="Strong"/>
          <w:rFonts w:ascii="Arial" w:hAnsi="Arial" w:cs="Arial"/>
          <w:b w:val="0"/>
          <w:bCs w:val="0"/>
          <w:color w:val="333333"/>
        </w:rPr>
        <w:t>Zoom</w:t>
      </w:r>
      <w:r>
        <w:rPr>
          <w:rFonts w:ascii="Arial" w:hAnsi="Arial" w:cs="Arial"/>
          <w:color w:val="333333"/>
        </w:rPr>
        <w:t>, </w:t>
      </w:r>
      <w:r>
        <w:rPr>
          <w:rStyle w:val="Strong"/>
          <w:rFonts w:ascii="Arial" w:hAnsi="Arial" w:cs="Arial"/>
          <w:b w:val="0"/>
          <w:bCs w:val="0"/>
          <w:color w:val="333333"/>
        </w:rPr>
        <w:t xml:space="preserve">Panopto, </w:t>
      </w:r>
      <w:r w:rsidR="002F5842">
        <w:rPr>
          <w:rStyle w:val="Strong"/>
          <w:rFonts w:ascii="Arial" w:hAnsi="Arial" w:cs="Arial"/>
          <w:b w:val="0"/>
          <w:bCs w:val="0"/>
          <w:color w:val="333333"/>
        </w:rPr>
        <w:t>engagement tools</w:t>
      </w:r>
      <w:r w:rsidR="009D0C90" w:rsidRPr="009D0C90">
        <w:rPr>
          <w:rStyle w:val="Strong"/>
          <w:rFonts w:ascii="Arial" w:hAnsi="Arial" w:cs="Arial"/>
          <w:b w:val="0"/>
          <w:bCs w:val="0"/>
          <w:color w:val="333333"/>
        </w:rPr>
        <w:t xml:space="preserve"> such as Poll Everywhere</w:t>
      </w:r>
      <w:r w:rsidR="002F5842">
        <w:rPr>
          <w:rStyle w:val="Strong"/>
          <w:rFonts w:ascii="Arial" w:hAnsi="Arial" w:cs="Arial"/>
          <w:b w:val="0"/>
          <w:bCs w:val="0"/>
          <w:color w:val="333333"/>
        </w:rPr>
        <w:t xml:space="preserve">, </w:t>
      </w:r>
      <w:r w:rsidR="002F5842">
        <w:rPr>
          <w:rStyle w:val="Strong"/>
          <w:rFonts w:ascii="Arial" w:hAnsi="Arial" w:cs="Arial"/>
          <w:b w:val="0"/>
          <w:bCs w:val="0"/>
          <w:color w:val="333333"/>
        </w:rPr>
        <w:lastRenderedPageBreak/>
        <w:t>Padlet</w:t>
      </w:r>
      <w:r w:rsidR="009D0C90" w:rsidRPr="009D0C90">
        <w:rPr>
          <w:rStyle w:val="Strong"/>
          <w:rFonts w:ascii="Arial" w:hAnsi="Arial" w:cs="Arial"/>
          <w:b w:val="0"/>
          <w:bCs w:val="0"/>
          <w:color w:val="333333"/>
        </w:rPr>
        <w:t xml:space="preserve"> or </w:t>
      </w:r>
      <w:proofErr w:type="spellStart"/>
      <w:r w:rsidR="009D0C90" w:rsidRPr="009D0C90">
        <w:rPr>
          <w:rStyle w:val="Strong"/>
          <w:rFonts w:ascii="Arial" w:hAnsi="Arial" w:cs="Arial"/>
          <w:b w:val="0"/>
          <w:bCs w:val="0"/>
          <w:color w:val="333333"/>
        </w:rPr>
        <w:t>Mentimeter</w:t>
      </w:r>
      <w:proofErr w:type="spellEnd"/>
      <w:r w:rsidRPr="009D0C90">
        <w:rPr>
          <w:rStyle w:val="Strong"/>
          <w:rFonts w:ascii="Arial" w:hAnsi="Arial" w:cs="Arial"/>
          <w:b w:val="0"/>
          <w:bCs w:val="0"/>
          <w:color w:val="333333"/>
        </w:rPr>
        <w:t>, Talis Elevate </w:t>
      </w:r>
      <w:r w:rsidRPr="009D0C90">
        <w:rPr>
          <w:rFonts w:ascii="Arial" w:hAnsi="Arial" w:cs="Arial"/>
          <w:color w:val="333333"/>
        </w:rPr>
        <w:t>and</w:t>
      </w:r>
      <w:r w:rsidR="00185E7B">
        <w:rPr>
          <w:rFonts w:ascii="Arial" w:hAnsi="Arial" w:cs="Arial"/>
          <w:color w:val="333333"/>
        </w:rPr>
        <w:t xml:space="preserve"> the</w:t>
      </w:r>
      <w:r w:rsidRPr="009D0C90">
        <w:rPr>
          <w:rFonts w:ascii="Arial" w:hAnsi="Arial" w:cs="Arial"/>
          <w:color w:val="333333"/>
        </w:rPr>
        <w:t> </w:t>
      </w:r>
      <w:r w:rsidRPr="009D0C90">
        <w:rPr>
          <w:rStyle w:val="Strong"/>
          <w:rFonts w:ascii="Arial" w:hAnsi="Arial" w:cs="Arial"/>
          <w:b w:val="0"/>
          <w:bCs w:val="0"/>
          <w:color w:val="333333"/>
        </w:rPr>
        <w:t>Digital Discovery Tool</w:t>
      </w:r>
      <w:r w:rsidRPr="009D0C90">
        <w:rPr>
          <w:rFonts w:ascii="Arial" w:hAnsi="Arial" w:cs="Arial"/>
          <w:color w:val="333333"/>
        </w:rPr>
        <w:t>. They can also help you choose the right learning technologies to support your particular teaching and learning practices.</w:t>
      </w:r>
      <w:r w:rsidR="00193889" w:rsidRPr="009D0C90">
        <w:rPr>
          <w:rFonts w:ascii="Arial" w:hAnsi="Arial" w:cs="Arial"/>
          <w:color w:val="333333"/>
        </w:rPr>
        <w:t xml:space="preserve"> </w:t>
      </w:r>
      <w:r w:rsidR="45EB3729" w:rsidRPr="009D0C90">
        <w:rPr>
          <w:color w:val="auto"/>
        </w:rPr>
        <w:t>TEL have expertise in the following areas:</w:t>
      </w:r>
    </w:p>
    <w:p w14:paraId="31A5D936" w14:textId="63CB2990" w:rsidR="00CB3387" w:rsidRPr="00CB3387" w:rsidRDefault="00554060" w:rsidP="00CD1D49">
      <w:pPr>
        <w:numPr>
          <w:ilvl w:val="1"/>
          <w:numId w:val="11"/>
        </w:numPr>
        <w:snapToGrid/>
        <w:spacing w:after="0" w:line="360" w:lineRule="auto"/>
        <w:rPr>
          <w:rFonts w:ascii="Arial" w:eastAsia="Times New Roman" w:hAnsi="Arial" w:cs="Arial"/>
          <w:color w:val="auto"/>
          <w:lang w:eastAsia="en-GB"/>
        </w:rPr>
      </w:pPr>
      <w:r w:rsidRPr="00CB3387">
        <w:rPr>
          <w:rFonts w:ascii="Arial" w:eastAsia="Times New Roman" w:hAnsi="Arial" w:cs="Arial"/>
          <w:color w:val="auto"/>
          <w:lang w:eastAsia="en-GB"/>
        </w:rPr>
        <w:t>eLearning</w:t>
      </w:r>
      <w:r w:rsidR="00CB3387" w:rsidRPr="00CB3387">
        <w:rPr>
          <w:rFonts w:ascii="Arial" w:eastAsia="Times New Roman" w:hAnsi="Arial" w:cs="Arial"/>
          <w:color w:val="auto"/>
          <w:lang w:eastAsia="en-GB"/>
        </w:rPr>
        <w:t xml:space="preserve"> development</w:t>
      </w:r>
    </w:p>
    <w:p w14:paraId="428AB346" w14:textId="77777777" w:rsidR="00CB3387" w:rsidRPr="00CB3387" w:rsidRDefault="00CB3387" w:rsidP="00CD1D49">
      <w:pPr>
        <w:numPr>
          <w:ilvl w:val="1"/>
          <w:numId w:val="11"/>
        </w:numPr>
        <w:snapToGrid/>
        <w:spacing w:before="300" w:after="0" w:line="360" w:lineRule="auto"/>
        <w:rPr>
          <w:rFonts w:ascii="Arial" w:eastAsia="Times New Roman" w:hAnsi="Arial" w:cs="Arial"/>
          <w:color w:val="auto"/>
          <w:lang w:eastAsia="en-GB"/>
        </w:rPr>
      </w:pPr>
      <w:r w:rsidRPr="00CB3387">
        <w:rPr>
          <w:rFonts w:ascii="Arial" w:eastAsia="Times New Roman" w:hAnsi="Arial" w:cs="Arial"/>
          <w:color w:val="auto"/>
          <w:lang w:eastAsia="en-GB"/>
        </w:rPr>
        <w:t>Digital curriculum design</w:t>
      </w:r>
    </w:p>
    <w:p w14:paraId="5E0C6948" w14:textId="77777777" w:rsidR="00CB3387" w:rsidRPr="00CB3387" w:rsidRDefault="00CB3387" w:rsidP="00CD1D49">
      <w:pPr>
        <w:numPr>
          <w:ilvl w:val="1"/>
          <w:numId w:val="11"/>
        </w:numPr>
        <w:snapToGrid/>
        <w:spacing w:before="300" w:after="0" w:line="360" w:lineRule="auto"/>
        <w:rPr>
          <w:rFonts w:ascii="Arial" w:eastAsia="Times New Roman" w:hAnsi="Arial" w:cs="Arial"/>
          <w:color w:val="auto"/>
          <w:lang w:eastAsia="en-GB"/>
        </w:rPr>
      </w:pPr>
      <w:r w:rsidRPr="00CB3387">
        <w:rPr>
          <w:rFonts w:ascii="Arial" w:eastAsia="Times New Roman" w:hAnsi="Arial" w:cs="Arial"/>
          <w:color w:val="auto"/>
          <w:lang w:eastAsia="en-GB"/>
        </w:rPr>
        <w:t>Blended or hybrid methods of teaching and learning</w:t>
      </w:r>
    </w:p>
    <w:p w14:paraId="1D2FDBBB" w14:textId="77777777" w:rsidR="00CB3387" w:rsidRPr="00CB3387" w:rsidRDefault="00CB3387" w:rsidP="00CD1D49">
      <w:pPr>
        <w:numPr>
          <w:ilvl w:val="1"/>
          <w:numId w:val="11"/>
        </w:numPr>
        <w:snapToGrid/>
        <w:spacing w:before="300" w:after="0" w:line="360" w:lineRule="auto"/>
        <w:rPr>
          <w:rFonts w:ascii="Arial" w:eastAsia="Times New Roman" w:hAnsi="Arial" w:cs="Arial"/>
          <w:color w:val="auto"/>
          <w:lang w:eastAsia="en-GB"/>
        </w:rPr>
      </w:pPr>
      <w:r w:rsidRPr="00CB3387">
        <w:rPr>
          <w:rFonts w:ascii="Arial" w:eastAsia="Times New Roman" w:hAnsi="Arial" w:cs="Arial"/>
          <w:color w:val="auto"/>
          <w:lang w:eastAsia="en-GB"/>
        </w:rPr>
        <w:t>Online and remote learning</w:t>
      </w:r>
    </w:p>
    <w:p w14:paraId="500D4FFA" w14:textId="77777777" w:rsidR="00CB3387" w:rsidRPr="00CB3387" w:rsidRDefault="00CB3387" w:rsidP="00CD1D49">
      <w:pPr>
        <w:numPr>
          <w:ilvl w:val="1"/>
          <w:numId w:val="11"/>
        </w:numPr>
        <w:snapToGrid/>
        <w:spacing w:before="300" w:after="0" w:line="360" w:lineRule="auto"/>
        <w:rPr>
          <w:rFonts w:ascii="Arial" w:eastAsia="Times New Roman" w:hAnsi="Arial" w:cs="Arial"/>
          <w:color w:val="auto"/>
          <w:lang w:eastAsia="en-GB"/>
        </w:rPr>
      </w:pPr>
      <w:r w:rsidRPr="00CB3387">
        <w:rPr>
          <w:rFonts w:ascii="Arial" w:eastAsia="Times New Roman" w:hAnsi="Arial" w:cs="Arial"/>
          <w:color w:val="auto"/>
          <w:lang w:eastAsia="en-GB"/>
        </w:rPr>
        <w:t>Instructional design (learning resource development)</w:t>
      </w:r>
    </w:p>
    <w:p w14:paraId="021822EF" w14:textId="565403E3" w:rsidR="002175A6" w:rsidRPr="003A5C7E" w:rsidRDefault="00CB3387" w:rsidP="00CD1D49">
      <w:pPr>
        <w:numPr>
          <w:ilvl w:val="1"/>
          <w:numId w:val="11"/>
        </w:numPr>
        <w:snapToGrid/>
        <w:spacing w:before="300" w:after="0" w:line="360" w:lineRule="auto"/>
        <w:rPr>
          <w:rFonts w:ascii="Arial" w:eastAsia="Times New Roman" w:hAnsi="Arial" w:cs="Arial"/>
          <w:color w:val="auto"/>
          <w:lang w:eastAsia="en-GB"/>
        </w:rPr>
      </w:pPr>
      <w:r w:rsidRPr="00CB3387">
        <w:rPr>
          <w:rFonts w:ascii="Arial" w:eastAsia="Times New Roman" w:hAnsi="Arial" w:cs="Arial"/>
          <w:color w:val="auto"/>
          <w:lang w:eastAsia="en-GB"/>
        </w:rPr>
        <w:t>Learning theories (as they apply to online platforms like Moodle and Zoom)</w:t>
      </w:r>
    </w:p>
    <w:p w14:paraId="2D298428" w14:textId="209CF2A0" w:rsidR="002D04A9" w:rsidRDefault="006B5177" w:rsidP="00CD1D49">
      <w:pPr>
        <w:pStyle w:val="ListParagraph"/>
        <w:numPr>
          <w:ilvl w:val="0"/>
          <w:numId w:val="11"/>
        </w:numPr>
        <w:spacing w:line="360" w:lineRule="auto"/>
      </w:pPr>
      <w:r>
        <w:t xml:space="preserve">When making changes to courses and modules, there may be considerations related to ensuring any new content meets the </w:t>
      </w:r>
      <w:r w:rsidR="00AA08E3">
        <w:t>Moodle</w:t>
      </w:r>
      <w:r w:rsidR="00CB1410">
        <w:t xml:space="preserve"> baseline standard</w:t>
      </w:r>
      <w:r w:rsidR="00AA08E3">
        <w:t>, accessibility</w:t>
      </w:r>
      <w:r>
        <w:t xml:space="preserve"> requirements</w:t>
      </w:r>
      <w:r w:rsidR="00AA08E3">
        <w:t xml:space="preserve">, </w:t>
      </w:r>
      <w:r>
        <w:t xml:space="preserve">as well as </w:t>
      </w:r>
      <w:r w:rsidR="00CB1410">
        <w:t>language and study skills</w:t>
      </w:r>
      <w:r>
        <w:t xml:space="preserve"> needs across the student body. Liaise with TEL in advance of making changes to ensure that these areas are also considered when making changes.</w:t>
      </w:r>
    </w:p>
    <w:p w14:paraId="401497AD" w14:textId="6D09A36D" w:rsidR="002175A6" w:rsidRDefault="002175A6" w:rsidP="00CD1D49">
      <w:pPr>
        <w:pBdr>
          <w:top w:val="single" w:sz="18" w:space="1" w:color="007A87"/>
          <w:left w:val="single" w:sz="18" w:space="4" w:color="007A87"/>
          <w:bottom w:val="single" w:sz="18" w:space="1" w:color="007A87"/>
          <w:right w:val="single" w:sz="18" w:space="4" w:color="007A87"/>
        </w:pBdr>
        <w:spacing w:line="360" w:lineRule="auto"/>
      </w:pPr>
      <w:r>
        <w:t xml:space="preserve">You can find more information and training on the </w:t>
      </w:r>
      <w:hyperlink r:id="rId22" w:history="1">
        <w:r w:rsidRPr="002175A6">
          <w:rPr>
            <w:rStyle w:val="Hyperlink"/>
          </w:rPr>
          <w:t>TEL pages</w:t>
        </w:r>
      </w:hyperlink>
      <w:r>
        <w:t xml:space="preserve"> on Moodle.</w:t>
      </w:r>
    </w:p>
    <w:p w14:paraId="2F53B91E" w14:textId="5306FC06" w:rsidR="002D04A9" w:rsidRDefault="002175A6" w:rsidP="003A5C7E">
      <w:pPr>
        <w:pBdr>
          <w:top w:val="single" w:sz="18" w:space="1" w:color="007A87"/>
          <w:left w:val="single" w:sz="18" w:space="4" w:color="007A87"/>
          <w:bottom w:val="single" w:sz="18" w:space="1" w:color="007A87"/>
          <w:right w:val="single" w:sz="18" w:space="4" w:color="007A87"/>
        </w:pBdr>
        <w:spacing w:line="360" w:lineRule="auto"/>
      </w:pPr>
      <w:r>
        <w:t xml:space="preserve">Email: </w:t>
      </w:r>
      <w:hyperlink r:id="rId23" w:history="1">
        <w:r w:rsidRPr="00F141B6">
          <w:rPr>
            <w:rStyle w:val="Hyperlink"/>
          </w:rPr>
          <w:t>tel@essex.ac.uk</w:t>
        </w:r>
      </w:hyperlink>
      <w:r>
        <w:t xml:space="preserve"> </w:t>
      </w:r>
    </w:p>
    <w:p w14:paraId="2A955E62" w14:textId="5BB868EE" w:rsidR="00A10A97" w:rsidRDefault="00A10A97" w:rsidP="00CD1D49">
      <w:pPr>
        <w:pStyle w:val="Heading3"/>
        <w:spacing w:line="360" w:lineRule="auto"/>
      </w:pPr>
      <w:bookmarkStart w:id="4" w:name="_Apprenticeships"/>
      <w:bookmarkEnd w:id="4"/>
      <w:r>
        <w:t>Apprenticeships</w:t>
      </w:r>
    </w:p>
    <w:p w14:paraId="5740EECA" w14:textId="31339D59" w:rsidR="001C3B71" w:rsidRDefault="002D04A9" w:rsidP="00CD1D49">
      <w:pPr>
        <w:pStyle w:val="ListParagraph"/>
        <w:numPr>
          <w:ilvl w:val="0"/>
          <w:numId w:val="11"/>
        </w:numPr>
        <w:spacing w:line="360" w:lineRule="auto"/>
      </w:pPr>
      <w:r>
        <w:t>A</w:t>
      </w:r>
      <w:r w:rsidR="00AA08E3">
        <w:t xml:space="preserve">pprenticeships </w:t>
      </w:r>
      <w:r>
        <w:t>are created to meet employer demand and are mapped to the appropriate apprenticeship standard. As such you should ensure that any changes you are planning have been discussed with all stakeholders</w:t>
      </w:r>
      <w:r w:rsidR="003C3325">
        <w:t xml:space="preserve"> and mapped to the standard to ensure changes meet requirements. This</w:t>
      </w:r>
      <w:r>
        <w:t xml:space="preserve"> includ</w:t>
      </w:r>
      <w:r w:rsidR="003C3325">
        <w:t xml:space="preserve">ed consulting with </w:t>
      </w:r>
      <w:r>
        <w:t xml:space="preserve">the Apprenticeships </w:t>
      </w:r>
      <w:r w:rsidR="00AA08E3">
        <w:t xml:space="preserve">Hub </w:t>
      </w:r>
      <w:r w:rsidR="003C3325">
        <w:t xml:space="preserve">for initial advice, </w:t>
      </w:r>
      <w:r>
        <w:t xml:space="preserve">and learners </w:t>
      </w:r>
      <w:r w:rsidR="003C3325">
        <w:t>and employers themselves.</w:t>
      </w:r>
    </w:p>
    <w:p w14:paraId="681F8AE3" w14:textId="7F3F5A4C" w:rsidR="00640C86" w:rsidRDefault="002D04A9" w:rsidP="00CD1D49">
      <w:pPr>
        <w:pStyle w:val="ListParagraph"/>
        <w:numPr>
          <w:ilvl w:val="0"/>
          <w:numId w:val="11"/>
        </w:numPr>
        <w:spacing w:line="360" w:lineRule="auto"/>
      </w:pPr>
      <w:r>
        <w:t xml:space="preserve">It is vital that you ensure </w:t>
      </w:r>
      <w:r w:rsidR="008C07CF">
        <w:t>changes are discussed with employer</w:t>
      </w:r>
      <w:r w:rsidR="00CB1410">
        <w:t xml:space="preserve"> rep</w:t>
      </w:r>
      <w:r>
        <w:t>resentatives</w:t>
      </w:r>
      <w:r w:rsidR="00CB1410">
        <w:t xml:space="preserve"> and stakeholders involved in supporting and delivering </w:t>
      </w:r>
      <w:r>
        <w:t xml:space="preserve">the apprenticeship. </w:t>
      </w:r>
    </w:p>
    <w:p w14:paraId="3C781D3B" w14:textId="7EAB4827" w:rsidR="00000DF6" w:rsidRDefault="00AE5D61" w:rsidP="00CD1D49">
      <w:pPr>
        <w:pBdr>
          <w:top w:val="single" w:sz="18" w:space="1" w:color="007A87"/>
          <w:left w:val="single" w:sz="18" w:space="4" w:color="007A87"/>
          <w:bottom w:val="single" w:sz="18" w:space="1" w:color="007A87"/>
          <w:right w:val="single" w:sz="18" w:space="4" w:color="007A87"/>
        </w:pBdr>
        <w:spacing w:line="360" w:lineRule="auto"/>
      </w:pPr>
      <w:r>
        <w:t xml:space="preserve">Email: </w:t>
      </w:r>
      <w:hyperlink r:id="rId24" w:history="1">
        <w:r w:rsidRPr="00F141B6">
          <w:rPr>
            <w:rStyle w:val="Hyperlink"/>
          </w:rPr>
          <w:t>apprenticeships@essex.ac.uk</w:t>
        </w:r>
      </w:hyperlink>
      <w:r>
        <w:t xml:space="preserve"> </w:t>
      </w:r>
    </w:p>
    <w:p w14:paraId="79ABC51B" w14:textId="29EFD334" w:rsidR="002912B9" w:rsidRDefault="00693436" w:rsidP="00CD1D49">
      <w:pPr>
        <w:pStyle w:val="Heading3"/>
        <w:spacing w:line="360" w:lineRule="auto"/>
      </w:pPr>
      <w:bookmarkStart w:id="5" w:name="_Resources"/>
      <w:bookmarkEnd w:id="5"/>
      <w:r w:rsidRPr="001708DC">
        <w:t>Resources</w:t>
      </w:r>
    </w:p>
    <w:p w14:paraId="1ACBEAF2" w14:textId="27D40D77" w:rsidR="006B060B" w:rsidRDefault="006E7A2E" w:rsidP="006E7A2E">
      <w:pPr>
        <w:pStyle w:val="ListParagraph"/>
        <w:numPr>
          <w:ilvl w:val="0"/>
          <w:numId w:val="11"/>
        </w:numPr>
      </w:pPr>
      <w:r w:rsidRPr="006E7A2E">
        <w:t xml:space="preserve">The Funding team can advise on resource and budget implications. For queries about income projections, contact </w:t>
      </w:r>
      <w:hyperlink r:id="rId25" w:history="1">
        <w:r w:rsidRPr="001644BB">
          <w:rPr>
            <w:rStyle w:val="Hyperlink"/>
          </w:rPr>
          <w:t>income@essex.ac.uk</w:t>
        </w:r>
      </w:hyperlink>
      <w:r>
        <w:t>.</w:t>
      </w:r>
      <w:r w:rsidRPr="006E7A2E">
        <w:t xml:space="preserve"> For payment mechanisms or staff costing, contact </w:t>
      </w:r>
      <w:hyperlink r:id="rId26" w:history="1">
        <w:r w:rsidRPr="001644BB">
          <w:rPr>
            <w:rStyle w:val="Hyperlink"/>
          </w:rPr>
          <w:t>payments@essex.ac.uk</w:t>
        </w:r>
      </w:hyperlink>
      <w:r w:rsidRPr="006E7A2E">
        <w:t>.</w:t>
      </w:r>
      <w:r>
        <w:t xml:space="preserve"> Consider the e</w:t>
      </w:r>
      <w:r w:rsidR="006B060B">
        <w:t>xpected funding sources</w:t>
      </w:r>
      <w:r w:rsidR="007E7C3D">
        <w:t xml:space="preserve"> for equipment, staffing and course related resources</w:t>
      </w:r>
      <w:r w:rsidR="006B060B">
        <w:t xml:space="preserve">, noting when two or more variants of the same course are funded differently. The Funding team need to be involved at early stage to advise on potential funding issues </w:t>
      </w:r>
      <w:r w:rsidR="004270EE">
        <w:t>when changes are being planned</w:t>
      </w:r>
      <w:r w:rsidR="004A08B9">
        <w:t>.</w:t>
      </w:r>
      <w:r w:rsidR="007E7C3D">
        <w:t xml:space="preserve"> </w:t>
      </w:r>
    </w:p>
    <w:p w14:paraId="257DFEA8" w14:textId="0951C29C" w:rsidR="003C3325" w:rsidRDefault="004A08B9" w:rsidP="00CD1D49">
      <w:pPr>
        <w:pStyle w:val="ListParagraph"/>
        <w:numPr>
          <w:ilvl w:val="0"/>
          <w:numId w:val="11"/>
        </w:numPr>
        <w:spacing w:line="360" w:lineRule="auto"/>
      </w:pPr>
      <w:r>
        <w:t>Consider a</w:t>
      </w:r>
      <w:r w:rsidR="003C3325">
        <w:t>ny characteristics of expected students that may</w:t>
      </w:r>
      <w:r w:rsidR="005B1FD7">
        <w:t xml:space="preserve"> be</w:t>
      </w:r>
      <w:r w:rsidR="003C3325">
        <w:t xml:space="preserve"> impact</w:t>
      </w:r>
      <w:r w:rsidR="005B1FD7">
        <w:t>ed by the proposed changes and what this means for</w:t>
      </w:r>
      <w:r w:rsidR="003C3325">
        <w:t xml:space="preserve"> the support or services they</w:t>
      </w:r>
      <w:r w:rsidR="005B1FD7">
        <w:t xml:space="preserve"> may</w:t>
      </w:r>
      <w:r w:rsidR="003C3325">
        <w:t xml:space="preserve"> need to access (</w:t>
      </w:r>
      <w:r w:rsidR="007E7C3D">
        <w:t>e.g.,</w:t>
      </w:r>
      <w:r w:rsidR="003C3325">
        <w:t xml:space="preserve"> part-time, international, work-based learning).</w:t>
      </w:r>
      <w:r w:rsidR="007E7C3D">
        <w:t xml:space="preserve"> Email: </w:t>
      </w:r>
      <w:hyperlink r:id="rId27" w:history="1">
        <w:r w:rsidR="007E7C3D" w:rsidRPr="00250639">
          <w:rPr>
            <w:rStyle w:val="Hyperlink"/>
          </w:rPr>
          <w:t>wellbeing@essex.ac.uk</w:t>
        </w:r>
      </w:hyperlink>
      <w:r w:rsidR="007E7C3D">
        <w:t xml:space="preserve"> </w:t>
      </w:r>
    </w:p>
    <w:p w14:paraId="06483451" w14:textId="031540CF" w:rsidR="007E7C3D" w:rsidRDefault="007E7C3D" w:rsidP="00CD1D49">
      <w:pPr>
        <w:pStyle w:val="ListParagraph"/>
        <w:numPr>
          <w:ilvl w:val="0"/>
          <w:numId w:val="11"/>
        </w:numPr>
        <w:spacing w:line="360" w:lineRule="auto"/>
      </w:pPr>
      <w:r w:rsidRPr="006E7A2E">
        <w:t xml:space="preserve">Liaise with Library and Cultural Services who </w:t>
      </w:r>
      <w:r w:rsidRPr="006E7A2E">
        <w:rPr>
          <w:rFonts w:ascii="Arial" w:hAnsi="Arial" w:cs="Arial"/>
          <w:shd w:val="clear" w:color="auto" w:fill="FFFFFF"/>
        </w:rPr>
        <w:t xml:space="preserve">are based across all three campuses in Colchester, Loughton, and Southend, and provide access to educational and research resources, high quality learning environments and specialist support in making the best use of information in all forms. This is pivotal when preparing changes to learning resources such as reading lists, which will need to be confirmed by a certain date. </w:t>
      </w:r>
      <w:r w:rsidRPr="006E7A2E">
        <w:t>Email</w:t>
      </w:r>
      <w:r>
        <w:t xml:space="preserve">: </w:t>
      </w:r>
      <w:hyperlink r:id="rId28" w:history="1">
        <w:r w:rsidRPr="00250639">
          <w:rPr>
            <w:rStyle w:val="Hyperlink"/>
          </w:rPr>
          <w:t>libline@essex.ac.uk</w:t>
        </w:r>
      </w:hyperlink>
      <w:r>
        <w:t xml:space="preserve"> </w:t>
      </w:r>
    </w:p>
    <w:p w14:paraId="63320D68" w14:textId="16645764" w:rsidR="000F2A23" w:rsidRDefault="000F2A23" w:rsidP="003A5C7E">
      <w:pPr>
        <w:pBdr>
          <w:top w:val="single" w:sz="18" w:space="1" w:color="007A87"/>
          <w:left w:val="single" w:sz="18" w:space="4" w:color="007A87"/>
          <w:bottom w:val="single" w:sz="18" w:space="1" w:color="007A87"/>
          <w:right w:val="single" w:sz="18" w:space="4" w:color="007A87"/>
        </w:pBdr>
        <w:spacing w:line="360" w:lineRule="auto"/>
      </w:pPr>
      <w:r>
        <w:t xml:space="preserve">Visit the </w:t>
      </w:r>
      <w:hyperlink r:id="rId29" w:history="1">
        <w:r w:rsidRPr="000F2A23">
          <w:rPr>
            <w:rStyle w:val="Hyperlink"/>
          </w:rPr>
          <w:t>Staff Directory</w:t>
        </w:r>
      </w:hyperlink>
      <w:r>
        <w:t xml:space="preserve"> to find any other information you may need.</w:t>
      </w:r>
    </w:p>
    <w:p w14:paraId="51FCA70B" w14:textId="3A11E29C" w:rsidR="00693436" w:rsidRDefault="00693436" w:rsidP="00CD1D49">
      <w:pPr>
        <w:pStyle w:val="Heading3"/>
        <w:spacing w:line="360" w:lineRule="auto"/>
      </w:pPr>
      <w:bookmarkStart w:id="6" w:name="_University_Policies"/>
      <w:bookmarkEnd w:id="6"/>
      <w:r w:rsidRPr="00A76F97">
        <w:t>University Policies</w:t>
      </w:r>
    </w:p>
    <w:p w14:paraId="76513A06" w14:textId="77777777" w:rsidR="003C3325" w:rsidRDefault="003C3325" w:rsidP="00CD1D49">
      <w:pPr>
        <w:pStyle w:val="ListParagraph"/>
        <w:numPr>
          <w:ilvl w:val="0"/>
          <w:numId w:val="11"/>
        </w:numPr>
        <w:spacing w:line="360" w:lineRule="auto"/>
      </w:pPr>
      <w:r>
        <w:t>Ensure you review</w:t>
      </w:r>
      <w:r w:rsidR="00693436" w:rsidRPr="00693436">
        <w:t xml:space="preserve"> </w:t>
      </w:r>
      <w:r>
        <w:t>University policies when identifying proposals for course changes. If your changes will require a variation to a policy, review that policy to identify whether a variation is allowed, and what process should be followed if a variation is allowed. Key policies that you may need to consider are:</w:t>
      </w:r>
    </w:p>
    <w:p w14:paraId="7040D770" w14:textId="4B094775" w:rsidR="003C3325" w:rsidRDefault="003C3325" w:rsidP="00CD1D49">
      <w:pPr>
        <w:pStyle w:val="ListParagraph"/>
        <w:numPr>
          <w:ilvl w:val="1"/>
          <w:numId w:val="11"/>
        </w:numPr>
        <w:spacing w:line="360" w:lineRule="auto"/>
      </w:pPr>
      <w:r w:rsidRPr="00A76F97">
        <w:t>Marking Policy</w:t>
      </w:r>
      <w:r w:rsidR="00A76F97">
        <w:t xml:space="preserve"> – available on this </w:t>
      </w:r>
      <w:hyperlink r:id="rId30" w:history="1">
        <w:r w:rsidR="00A76F97" w:rsidRPr="00A76F97">
          <w:rPr>
            <w:rStyle w:val="Hyperlink"/>
          </w:rPr>
          <w:t>webpage</w:t>
        </w:r>
      </w:hyperlink>
    </w:p>
    <w:p w14:paraId="6C32E6EE" w14:textId="465E79D3" w:rsidR="003C3325" w:rsidRDefault="003C3325" w:rsidP="00CD1D49">
      <w:pPr>
        <w:pStyle w:val="ListParagraph"/>
        <w:numPr>
          <w:ilvl w:val="1"/>
          <w:numId w:val="11"/>
        </w:numPr>
        <w:spacing w:line="360" w:lineRule="auto"/>
      </w:pPr>
      <w:r>
        <w:t xml:space="preserve">Assessment Policies </w:t>
      </w:r>
      <w:r w:rsidR="00A76F97">
        <w:t>–</w:t>
      </w:r>
      <w:r>
        <w:t xml:space="preserve"> </w:t>
      </w:r>
      <w:r w:rsidR="00A76F97">
        <w:t xml:space="preserve">available on this </w:t>
      </w:r>
      <w:hyperlink r:id="rId31" w:history="1">
        <w:r w:rsidR="00A76F97" w:rsidRPr="00A76F97">
          <w:rPr>
            <w:rStyle w:val="Hyperlink"/>
          </w:rPr>
          <w:t>webpage</w:t>
        </w:r>
      </w:hyperlink>
      <w:r w:rsidR="00A76F97">
        <w:t>. A</w:t>
      </w:r>
      <w:r>
        <w:t>dding boards and resubmission boards at certain points in the academic year can cause system and capacity issues that delay student results. Advance discussion allows exam boards to be scheduled appropriately.</w:t>
      </w:r>
    </w:p>
    <w:p w14:paraId="0973C9F1" w14:textId="3D24E245" w:rsidR="003C3325" w:rsidRDefault="003C3325" w:rsidP="00CD1D49">
      <w:pPr>
        <w:pStyle w:val="ListParagraph"/>
        <w:numPr>
          <w:ilvl w:val="1"/>
          <w:numId w:val="11"/>
        </w:numPr>
        <w:spacing w:line="360" w:lineRule="auto"/>
      </w:pPr>
      <w:r>
        <w:t>Rules of Assessment</w:t>
      </w:r>
      <w:r w:rsidR="00A76F97">
        <w:t xml:space="preserve"> – available on this </w:t>
      </w:r>
      <w:hyperlink r:id="rId32" w:history="1">
        <w:r w:rsidR="00A76F97" w:rsidRPr="00A76F97">
          <w:rPr>
            <w:rStyle w:val="Hyperlink"/>
          </w:rPr>
          <w:t>webpage</w:t>
        </w:r>
      </w:hyperlink>
    </w:p>
    <w:p w14:paraId="2E3CF010" w14:textId="771D6126" w:rsidR="003C3325" w:rsidRDefault="003C3325" w:rsidP="00CD1D49">
      <w:pPr>
        <w:pStyle w:val="ListParagraph"/>
        <w:numPr>
          <w:ilvl w:val="1"/>
          <w:numId w:val="11"/>
        </w:numPr>
        <w:spacing w:line="360" w:lineRule="auto"/>
      </w:pPr>
      <w:r>
        <w:t>Variation to Rules of Assessment</w:t>
      </w:r>
      <w:r w:rsidR="00A76F97">
        <w:t xml:space="preserve"> – available on this </w:t>
      </w:r>
      <w:hyperlink r:id="rId33" w:history="1">
        <w:r w:rsidR="00A76F97" w:rsidRPr="00A76F97">
          <w:rPr>
            <w:rStyle w:val="Hyperlink"/>
          </w:rPr>
          <w:t>webpage</w:t>
        </w:r>
      </w:hyperlink>
    </w:p>
    <w:p w14:paraId="746BF721" w14:textId="5CF3269E" w:rsidR="00A76F97" w:rsidRDefault="00A76F97" w:rsidP="00CD1D49">
      <w:pPr>
        <w:pStyle w:val="ListParagraph"/>
        <w:numPr>
          <w:ilvl w:val="1"/>
          <w:numId w:val="11"/>
        </w:numPr>
        <w:spacing w:line="360" w:lineRule="auto"/>
      </w:pPr>
      <w:r>
        <w:t xml:space="preserve">Assessment feedback – available on this </w:t>
      </w:r>
      <w:hyperlink r:id="rId34" w:history="1">
        <w:r w:rsidRPr="00A76F97">
          <w:rPr>
            <w:rStyle w:val="Hyperlink"/>
          </w:rPr>
          <w:t>webpage</w:t>
        </w:r>
      </w:hyperlink>
    </w:p>
    <w:p w14:paraId="3FF1B76C" w14:textId="56C03577" w:rsidR="003C3325" w:rsidRDefault="003C3325" w:rsidP="00CD1D49">
      <w:pPr>
        <w:pStyle w:val="ListParagraph"/>
        <w:numPr>
          <w:ilvl w:val="1"/>
          <w:numId w:val="11"/>
        </w:numPr>
        <w:spacing w:line="360" w:lineRule="auto"/>
      </w:pPr>
      <w:hyperlink r:id="rId35" w:history="1">
        <w:r w:rsidRPr="00A76F97">
          <w:rPr>
            <w:rStyle w:val="Hyperlink"/>
          </w:rPr>
          <w:t>Work</w:t>
        </w:r>
        <w:r w:rsidR="00A76F97" w:rsidRPr="00A76F97">
          <w:rPr>
            <w:rStyle w:val="Hyperlink"/>
          </w:rPr>
          <w:t>-</w:t>
        </w:r>
        <w:r w:rsidRPr="00A76F97">
          <w:rPr>
            <w:rStyle w:val="Hyperlink"/>
          </w:rPr>
          <w:t>based learning</w:t>
        </w:r>
      </w:hyperlink>
      <w:r w:rsidR="00A76F97">
        <w:t xml:space="preserve"> </w:t>
      </w:r>
    </w:p>
    <w:p w14:paraId="3A7E3096" w14:textId="70C53C17" w:rsidR="003C3325" w:rsidRDefault="003C3325" w:rsidP="00CD1D49">
      <w:pPr>
        <w:pStyle w:val="ListParagraph"/>
        <w:numPr>
          <w:ilvl w:val="1"/>
          <w:numId w:val="11"/>
        </w:numPr>
        <w:spacing w:line="360" w:lineRule="auto"/>
      </w:pPr>
      <w:r>
        <w:t>Admission</w:t>
      </w:r>
      <w:r w:rsidR="00A76F97">
        <w:t>s</w:t>
      </w:r>
      <w:r>
        <w:t xml:space="preserve"> policies</w:t>
      </w:r>
      <w:r w:rsidR="00A76F97">
        <w:t xml:space="preserve"> – </w:t>
      </w:r>
      <w:hyperlink r:id="rId36" w:history="1">
        <w:r w:rsidR="00A76F97" w:rsidRPr="00D603B9">
          <w:rPr>
            <w:rStyle w:val="Hyperlink"/>
          </w:rPr>
          <w:t>undergraduate</w:t>
        </w:r>
      </w:hyperlink>
      <w:r w:rsidR="00A76F97">
        <w:t xml:space="preserve">, </w:t>
      </w:r>
      <w:hyperlink r:id="rId37" w:history="1">
        <w:r w:rsidR="004D1406" w:rsidRPr="004D1406">
          <w:rPr>
            <w:rStyle w:val="Hyperlink"/>
          </w:rPr>
          <w:t>post</w:t>
        </w:r>
        <w:r w:rsidR="00B169B4" w:rsidRPr="004D1406">
          <w:rPr>
            <w:rStyle w:val="Hyperlink"/>
          </w:rPr>
          <w:t>graduate</w:t>
        </w:r>
      </w:hyperlink>
    </w:p>
    <w:p w14:paraId="656AC21E" w14:textId="025CBAFD" w:rsidR="003C3325" w:rsidRDefault="003C3325" w:rsidP="00CD1D49">
      <w:pPr>
        <w:pStyle w:val="ListParagraph"/>
        <w:numPr>
          <w:ilvl w:val="1"/>
          <w:numId w:val="11"/>
        </w:numPr>
        <w:spacing w:line="360" w:lineRule="auto"/>
      </w:pPr>
      <w:hyperlink r:id="rId38" w:history="1">
        <w:r w:rsidRPr="003C3325">
          <w:rPr>
            <w:rStyle w:val="Hyperlink"/>
          </w:rPr>
          <w:t>Health and Safety Policies</w:t>
        </w:r>
      </w:hyperlink>
    </w:p>
    <w:p w14:paraId="256559A9" w14:textId="5AC87DD8" w:rsidR="006B060B" w:rsidRPr="00693436" w:rsidRDefault="003C3325" w:rsidP="00CD1D49">
      <w:pPr>
        <w:pBdr>
          <w:top w:val="single" w:sz="18" w:space="1" w:color="007A87"/>
          <w:left w:val="single" w:sz="18" w:space="4" w:color="007A87"/>
          <w:bottom w:val="single" w:sz="18" w:space="1" w:color="007A87"/>
          <w:right w:val="single" w:sz="18" w:space="4" w:color="007A87"/>
        </w:pBdr>
        <w:spacing w:line="360" w:lineRule="auto"/>
      </w:pPr>
      <w:r>
        <w:lastRenderedPageBreak/>
        <w:t>University Policies</w:t>
      </w:r>
      <w:r w:rsidR="00B169B4">
        <w:t xml:space="preserve"> relating to Governance</w:t>
      </w:r>
      <w:r>
        <w:t xml:space="preserve"> are available for viewing </w:t>
      </w:r>
      <w:hyperlink r:id="rId39" w:history="1">
        <w:r w:rsidRPr="003C3325">
          <w:rPr>
            <w:rStyle w:val="Hyperlink"/>
          </w:rPr>
          <w:t>here</w:t>
        </w:r>
      </w:hyperlink>
      <w:r>
        <w:t>.</w:t>
      </w:r>
    </w:p>
    <w:p w14:paraId="496A353E" w14:textId="693FB13D" w:rsidR="00693436" w:rsidRDefault="00693436" w:rsidP="00CD1D49">
      <w:pPr>
        <w:spacing w:line="360" w:lineRule="auto"/>
      </w:pPr>
    </w:p>
    <w:p w14:paraId="4B7F5D5B" w14:textId="264FF716" w:rsidR="00F8144E" w:rsidRDefault="00F8144E" w:rsidP="00CD1D49">
      <w:pPr>
        <w:pStyle w:val="Heading3"/>
        <w:spacing w:line="360" w:lineRule="auto"/>
      </w:pPr>
      <w:r>
        <w:t>Remember…</w:t>
      </w:r>
    </w:p>
    <w:p w14:paraId="487B01DA" w14:textId="70389268" w:rsidR="00937F2D" w:rsidRDefault="00F8144E" w:rsidP="00CD1D49">
      <w:pPr>
        <w:spacing w:line="360" w:lineRule="auto"/>
      </w:pPr>
      <w:r>
        <w:t xml:space="preserve">The data you supply for </w:t>
      </w:r>
      <w:r w:rsidRPr="00F8144E">
        <w:t xml:space="preserve">Curriculum Update reaches far beyond Course Records, enrolment, and timetabling. </w:t>
      </w:r>
      <w:r>
        <w:t>The</w:t>
      </w:r>
      <w:r w:rsidRPr="00F8144E">
        <w:t xml:space="preserve"> </w:t>
      </w:r>
      <w:r>
        <w:t>U</w:t>
      </w:r>
      <w:r w:rsidRPr="00F8144E">
        <w:t>niversity rel</w:t>
      </w:r>
      <w:r>
        <w:t>ies</w:t>
      </w:r>
      <w:r w:rsidRPr="00F8144E">
        <w:t xml:space="preserve"> on accurate course information </w:t>
      </w:r>
      <w:r>
        <w:t>and ensuring you have communicated with key stakeholders before submitting tickets ensures data is as accurate as possible.</w:t>
      </w:r>
      <w:r w:rsidRPr="00F8144E">
        <w:t xml:space="preserve">  </w:t>
      </w:r>
    </w:p>
    <w:p w14:paraId="45559E09" w14:textId="7E5E8F3B" w:rsidR="00937F2D" w:rsidRDefault="00937F2D" w:rsidP="00CD1D49">
      <w:pPr>
        <w:spacing w:line="360" w:lineRule="auto"/>
      </w:pPr>
      <w:r>
        <w:t xml:space="preserve">When in doubt, contact </w:t>
      </w:r>
      <w:hyperlink r:id="rId40" w:history="1">
        <w:r w:rsidRPr="00250639">
          <w:rPr>
            <w:rStyle w:val="Hyperlink"/>
          </w:rPr>
          <w:t>quad@essex.ac.uk</w:t>
        </w:r>
      </w:hyperlink>
      <w:r>
        <w:t xml:space="preserve"> (QUAD) or </w:t>
      </w:r>
      <w:hyperlink r:id="rId41" w:history="1">
        <w:r w:rsidRPr="00250639">
          <w:rPr>
            <w:rStyle w:val="Hyperlink"/>
          </w:rPr>
          <w:t>crt@essex.ac.uk</w:t>
        </w:r>
      </w:hyperlink>
      <w:r>
        <w:t xml:space="preserve"> (Course Records)</w:t>
      </w:r>
    </w:p>
    <w:p w14:paraId="61C04FCB" w14:textId="29C21762" w:rsidR="00DC5F17" w:rsidRDefault="00DC5F17" w:rsidP="00925E91"/>
    <w:p w14:paraId="58A37288" w14:textId="6163EBEF" w:rsidR="00DC5F17" w:rsidRPr="005D0B7A" w:rsidRDefault="00DC5F17" w:rsidP="00DC5F17">
      <w:pPr>
        <w:tabs>
          <w:tab w:val="left" w:pos="1418"/>
        </w:tabs>
        <w:jc w:val="both"/>
        <w:rPr>
          <w:rFonts w:eastAsia="Times New Roman" w:cs="Arial"/>
          <w:b/>
          <w:bCs/>
          <w:lang w:eastAsia="en-GB"/>
        </w:rPr>
      </w:pPr>
      <w:r w:rsidRPr="005D0B7A">
        <w:rPr>
          <w:rFonts w:eastAsia="Times New Roman" w:cs="Arial"/>
          <w:b/>
          <w:bCs/>
          <w:lang w:eastAsia="en-GB"/>
        </w:rPr>
        <w:t>Document review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9"/>
        <w:gridCol w:w="7518"/>
      </w:tblGrid>
      <w:tr w:rsidR="00DC5F17" w:rsidRPr="005D0B7A" w14:paraId="6D575681" w14:textId="77777777" w:rsidTr="00D70F97">
        <w:trPr>
          <w:trHeight w:val="604"/>
        </w:trPr>
        <w:tc>
          <w:tcPr>
            <w:tcW w:w="3109" w:type="dxa"/>
            <w:tcMar>
              <w:top w:w="0" w:type="dxa"/>
              <w:left w:w="108" w:type="dxa"/>
              <w:bottom w:w="0" w:type="dxa"/>
              <w:right w:w="108" w:type="dxa"/>
            </w:tcMar>
            <w:hideMark/>
          </w:tcPr>
          <w:p w14:paraId="116D9E48" w14:textId="77777777" w:rsidR="00DC5F17" w:rsidRPr="005D0B7A" w:rsidRDefault="00DC5F17" w:rsidP="00C34B7B">
            <w:pPr>
              <w:tabs>
                <w:tab w:val="left" w:pos="1418"/>
              </w:tabs>
              <w:spacing w:line="276" w:lineRule="auto"/>
              <w:jc w:val="both"/>
              <w:rPr>
                <w:rFonts w:eastAsia="Times New Roman" w:cs="Arial"/>
              </w:rPr>
            </w:pPr>
            <w:r w:rsidRPr="005D0B7A">
              <w:rPr>
                <w:rFonts w:eastAsia="Times New Roman" w:cs="Arial"/>
              </w:rPr>
              <w:t>Document owner</w:t>
            </w:r>
          </w:p>
        </w:tc>
        <w:tc>
          <w:tcPr>
            <w:tcW w:w="7518" w:type="dxa"/>
            <w:tcMar>
              <w:top w:w="0" w:type="dxa"/>
              <w:left w:w="108" w:type="dxa"/>
              <w:bottom w:w="0" w:type="dxa"/>
              <w:right w:w="108" w:type="dxa"/>
            </w:tcMar>
            <w:hideMark/>
          </w:tcPr>
          <w:p w14:paraId="355DDF96" w14:textId="77777777" w:rsidR="00DC5F17" w:rsidRPr="005D0B7A" w:rsidRDefault="00DC5F17" w:rsidP="00C34B7B">
            <w:pPr>
              <w:tabs>
                <w:tab w:val="left" w:pos="1418"/>
              </w:tabs>
              <w:spacing w:line="276" w:lineRule="auto"/>
              <w:jc w:val="both"/>
              <w:rPr>
                <w:rFonts w:eastAsia="Times New Roman" w:cs="Arial"/>
              </w:rPr>
            </w:pPr>
            <w:r w:rsidRPr="005D0B7A">
              <w:rPr>
                <w:rFonts w:eastAsia="Times New Roman" w:cs="Arial"/>
              </w:rPr>
              <w:t>Quality and Academic Development Team</w:t>
            </w:r>
          </w:p>
        </w:tc>
      </w:tr>
      <w:tr w:rsidR="00DC5F17" w:rsidRPr="005D0B7A" w14:paraId="07E6C5E7" w14:textId="77777777" w:rsidTr="00D70F97">
        <w:trPr>
          <w:trHeight w:val="702"/>
        </w:trPr>
        <w:tc>
          <w:tcPr>
            <w:tcW w:w="3109" w:type="dxa"/>
            <w:tcMar>
              <w:top w:w="0" w:type="dxa"/>
              <w:left w:w="108" w:type="dxa"/>
              <w:bottom w:w="0" w:type="dxa"/>
              <w:right w:w="108" w:type="dxa"/>
            </w:tcMar>
            <w:hideMark/>
          </w:tcPr>
          <w:p w14:paraId="4A9E8AF9" w14:textId="77777777" w:rsidR="00DC5F17" w:rsidRPr="005D0B7A" w:rsidRDefault="00DC5F17" w:rsidP="00C34B7B">
            <w:pPr>
              <w:tabs>
                <w:tab w:val="left" w:pos="1418"/>
              </w:tabs>
              <w:spacing w:line="276" w:lineRule="auto"/>
              <w:jc w:val="both"/>
              <w:rPr>
                <w:rFonts w:eastAsia="Times New Roman" w:cs="Arial"/>
              </w:rPr>
            </w:pPr>
            <w:r w:rsidRPr="005D0B7A">
              <w:rPr>
                <w:rFonts w:eastAsia="Times New Roman" w:cs="Arial"/>
              </w:rPr>
              <w:t>Document last reviewed by</w:t>
            </w:r>
          </w:p>
        </w:tc>
        <w:tc>
          <w:tcPr>
            <w:tcW w:w="7518" w:type="dxa"/>
            <w:tcMar>
              <w:top w:w="0" w:type="dxa"/>
              <w:left w:w="108" w:type="dxa"/>
              <w:bottom w:w="0" w:type="dxa"/>
              <w:right w:w="108" w:type="dxa"/>
            </w:tcMar>
            <w:hideMark/>
          </w:tcPr>
          <w:p w14:paraId="3F4652E4" w14:textId="77777777" w:rsidR="00DC5F17" w:rsidRPr="005D0B7A" w:rsidRDefault="00DC5F17" w:rsidP="00C34B7B">
            <w:pPr>
              <w:tabs>
                <w:tab w:val="left" w:pos="1418"/>
              </w:tabs>
              <w:spacing w:line="276" w:lineRule="auto"/>
              <w:rPr>
                <w:rFonts w:eastAsia="Times New Roman" w:cs="Arial"/>
              </w:rPr>
            </w:pPr>
            <w:r w:rsidRPr="005D0B7A">
              <w:rPr>
                <w:rFonts w:eastAsia="Times New Roman" w:cs="Arial"/>
              </w:rPr>
              <w:t xml:space="preserve">Aminah Suhail, Quality </w:t>
            </w:r>
            <w:r>
              <w:rPr>
                <w:rFonts w:eastAsia="Times New Roman" w:cs="Arial"/>
              </w:rPr>
              <w:t>and Academic Development Manager</w:t>
            </w:r>
          </w:p>
        </w:tc>
      </w:tr>
      <w:tr w:rsidR="00DC5F17" w:rsidRPr="005D0B7A" w14:paraId="28353538" w14:textId="77777777" w:rsidTr="00D70F97">
        <w:trPr>
          <w:trHeight w:val="246"/>
        </w:trPr>
        <w:tc>
          <w:tcPr>
            <w:tcW w:w="3109" w:type="dxa"/>
            <w:tcMar>
              <w:top w:w="0" w:type="dxa"/>
              <w:left w:w="108" w:type="dxa"/>
              <w:bottom w:w="0" w:type="dxa"/>
              <w:right w:w="108" w:type="dxa"/>
            </w:tcMar>
            <w:hideMark/>
          </w:tcPr>
          <w:p w14:paraId="3B42F6ED" w14:textId="77777777" w:rsidR="00DC5F17" w:rsidRPr="005D0B7A" w:rsidRDefault="00DC5F17" w:rsidP="00C34B7B">
            <w:pPr>
              <w:tabs>
                <w:tab w:val="left" w:pos="1418"/>
              </w:tabs>
              <w:spacing w:line="276" w:lineRule="auto"/>
              <w:jc w:val="both"/>
              <w:rPr>
                <w:rFonts w:eastAsia="Times New Roman" w:cs="Arial"/>
              </w:rPr>
            </w:pPr>
            <w:r w:rsidRPr="005D0B7A">
              <w:rPr>
                <w:rFonts w:eastAsia="Times New Roman" w:cs="Arial"/>
              </w:rPr>
              <w:t>Date last reviewed</w:t>
            </w:r>
          </w:p>
        </w:tc>
        <w:tc>
          <w:tcPr>
            <w:tcW w:w="7518" w:type="dxa"/>
            <w:tcMar>
              <w:top w:w="0" w:type="dxa"/>
              <w:left w:w="108" w:type="dxa"/>
              <w:bottom w:w="0" w:type="dxa"/>
              <w:right w:w="108" w:type="dxa"/>
            </w:tcMar>
            <w:hideMark/>
          </w:tcPr>
          <w:p w14:paraId="1307AAEE" w14:textId="177EED83" w:rsidR="00DC5F17" w:rsidRPr="005D0B7A" w:rsidRDefault="003B5F00" w:rsidP="00C34B7B">
            <w:pPr>
              <w:tabs>
                <w:tab w:val="left" w:pos="1418"/>
              </w:tabs>
              <w:spacing w:line="276" w:lineRule="auto"/>
              <w:jc w:val="both"/>
              <w:rPr>
                <w:rFonts w:eastAsia="Times New Roman" w:cs="Arial"/>
              </w:rPr>
            </w:pPr>
            <w:r>
              <w:rPr>
                <w:rFonts w:eastAsia="Times New Roman" w:cs="Arial"/>
              </w:rPr>
              <w:t>August 202</w:t>
            </w:r>
            <w:r w:rsidR="00757E0F">
              <w:rPr>
                <w:rFonts w:eastAsia="Times New Roman" w:cs="Arial"/>
              </w:rPr>
              <w:t>5</w:t>
            </w:r>
          </w:p>
        </w:tc>
      </w:tr>
      <w:tr w:rsidR="00DC5F17" w:rsidRPr="005D0B7A" w14:paraId="5BA354DF" w14:textId="77777777" w:rsidTr="00D70F97">
        <w:trPr>
          <w:trHeight w:val="71"/>
        </w:trPr>
        <w:tc>
          <w:tcPr>
            <w:tcW w:w="3109" w:type="dxa"/>
            <w:tcMar>
              <w:top w:w="0" w:type="dxa"/>
              <w:left w:w="108" w:type="dxa"/>
              <w:bottom w:w="0" w:type="dxa"/>
              <w:right w:w="108" w:type="dxa"/>
            </w:tcMar>
            <w:hideMark/>
          </w:tcPr>
          <w:p w14:paraId="1C476722" w14:textId="77777777" w:rsidR="00DC5F17" w:rsidRPr="005D0B7A" w:rsidRDefault="00DC5F17" w:rsidP="00C34B7B">
            <w:pPr>
              <w:tabs>
                <w:tab w:val="left" w:pos="1418"/>
              </w:tabs>
              <w:spacing w:line="276" w:lineRule="auto"/>
              <w:jc w:val="both"/>
              <w:rPr>
                <w:rFonts w:eastAsia="Times New Roman" w:cs="Arial"/>
              </w:rPr>
            </w:pPr>
            <w:r w:rsidRPr="005D0B7A">
              <w:rPr>
                <w:rFonts w:eastAsia="Times New Roman" w:cs="Arial"/>
              </w:rPr>
              <w:t>Review frequency</w:t>
            </w:r>
          </w:p>
        </w:tc>
        <w:tc>
          <w:tcPr>
            <w:tcW w:w="7518" w:type="dxa"/>
            <w:tcMar>
              <w:top w:w="0" w:type="dxa"/>
              <w:left w:w="108" w:type="dxa"/>
              <w:bottom w:w="0" w:type="dxa"/>
              <w:right w:w="108" w:type="dxa"/>
            </w:tcMar>
            <w:hideMark/>
          </w:tcPr>
          <w:p w14:paraId="7A4C4942" w14:textId="77777777" w:rsidR="00DC5F17" w:rsidRPr="005D0B7A" w:rsidRDefault="00DC5F17" w:rsidP="00C34B7B">
            <w:pPr>
              <w:tabs>
                <w:tab w:val="left" w:pos="1418"/>
              </w:tabs>
              <w:spacing w:line="276" w:lineRule="auto"/>
              <w:jc w:val="both"/>
              <w:rPr>
                <w:rFonts w:eastAsia="Times New Roman" w:cs="Arial"/>
              </w:rPr>
            </w:pPr>
            <w:r w:rsidRPr="005D0B7A">
              <w:rPr>
                <w:rFonts w:eastAsia="Times New Roman" w:cs="Arial"/>
              </w:rPr>
              <w:t>Annually</w:t>
            </w:r>
          </w:p>
        </w:tc>
      </w:tr>
    </w:tbl>
    <w:p w14:paraId="1607CF04" w14:textId="77777777" w:rsidR="00DC5F17" w:rsidRPr="00A72AF3" w:rsidRDefault="00DC5F17" w:rsidP="00925E91"/>
    <w:sectPr w:rsidR="00DC5F17" w:rsidRPr="00A72AF3" w:rsidSect="00CB1410">
      <w:footerReference w:type="default" r:id="rId42"/>
      <w:headerReference w:type="first" r:id="rId43"/>
      <w:footerReference w:type="first" r:id="rId44"/>
      <w:pgSz w:w="11906" w:h="16838"/>
      <w:pgMar w:top="680" w:right="566"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B961E" w14:textId="77777777" w:rsidR="001D14AF" w:rsidRDefault="001D14AF" w:rsidP="0040118A">
      <w:pPr>
        <w:spacing w:line="240" w:lineRule="auto"/>
      </w:pPr>
      <w:r>
        <w:separator/>
      </w:r>
    </w:p>
    <w:p w14:paraId="6A7AE1AD" w14:textId="77777777" w:rsidR="001D14AF" w:rsidRDefault="001D14AF"/>
  </w:endnote>
  <w:endnote w:type="continuationSeparator" w:id="0">
    <w:p w14:paraId="6CFC144E" w14:textId="77777777" w:rsidR="001D14AF" w:rsidRDefault="001D14AF" w:rsidP="0040118A">
      <w:pPr>
        <w:spacing w:line="240" w:lineRule="auto"/>
      </w:pPr>
      <w:r>
        <w:continuationSeparator/>
      </w:r>
    </w:p>
    <w:p w14:paraId="1DA3D2E6" w14:textId="77777777" w:rsidR="001D14AF" w:rsidRDefault="001D1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20B0604020202020204"/>
    <w:charset w:val="00"/>
    <w:family w:val="roman"/>
    <w:notTrueType/>
    <w:pitch w:val="default"/>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658534"/>
      <w:docPartObj>
        <w:docPartGallery w:val="Page Numbers (Bottom of Page)"/>
        <w:docPartUnique/>
      </w:docPartObj>
    </w:sdtPr>
    <w:sdtEndPr>
      <w:rPr>
        <w:noProof/>
      </w:rPr>
    </w:sdtEndPr>
    <w:sdtContent>
      <w:p w14:paraId="0F2F2453" w14:textId="25C74AC3" w:rsidR="00627271" w:rsidRPr="005270E9" w:rsidRDefault="005270E9" w:rsidP="005270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FFDE5" w14:textId="3EF2891D" w:rsidR="005270E9" w:rsidRDefault="005270E9" w:rsidP="005270E9">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B3CA8" w14:textId="77777777" w:rsidR="001D14AF" w:rsidRDefault="001D14AF" w:rsidP="0040118A">
      <w:pPr>
        <w:spacing w:line="240" w:lineRule="auto"/>
      </w:pPr>
      <w:r>
        <w:separator/>
      </w:r>
    </w:p>
    <w:p w14:paraId="6B12D018" w14:textId="77777777" w:rsidR="001D14AF" w:rsidRDefault="001D14AF"/>
  </w:footnote>
  <w:footnote w:type="continuationSeparator" w:id="0">
    <w:p w14:paraId="0C7E7316" w14:textId="77777777" w:rsidR="001D14AF" w:rsidRDefault="001D14AF" w:rsidP="0040118A">
      <w:pPr>
        <w:spacing w:line="240" w:lineRule="auto"/>
      </w:pPr>
      <w:r>
        <w:continuationSeparator/>
      </w:r>
    </w:p>
    <w:p w14:paraId="6A11DA52" w14:textId="77777777" w:rsidR="001D14AF" w:rsidRDefault="001D1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47E3B" w14:textId="77777777" w:rsidR="00BA3576" w:rsidRDefault="00606ECF">
    <w:pPr>
      <w:pStyle w:val="Header"/>
    </w:pPr>
    <w:r>
      <w:rPr>
        <w:b/>
        <w:bCs/>
        <w:noProof/>
        <w:szCs w:val="28"/>
      </w:rPr>
      <w:drawing>
        <wp:inline distT="0" distB="0" distL="0" distR="0" wp14:anchorId="612632BA" wp14:editId="11750282">
          <wp:extent cx="1981200" cy="723900"/>
          <wp:effectExtent l="0" t="0" r="0" b="0"/>
          <wp:docPr id="1396393293" name="Picture 139639329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816D91"/>
    <w:multiLevelType w:val="hybridMultilevel"/>
    <w:tmpl w:val="69DEDEDC"/>
    <w:lvl w:ilvl="0" w:tplc="6A76C360">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74E9B"/>
    <w:multiLevelType w:val="hybridMultilevel"/>
    <w:tmpl w:val="8E5ABE10"/>
    <w:lvl w:ilvl="0" w:tplc="08090005">
      <w:start w:val="1"/>
      <w:numFmt w:val="bullet"/>
      <w:lvlText w:val=""/>
      <w:lvlJc w:val="left"/>
      <w:pPr>
        <w:ind w:left="720" w:hanging="360"/>
      </w:pPr>
      <w:rPr>
        <w:rFonts w:ascii="Wingdings" w:hAnsi="Wingdings" w:hint="default"/>
      </w:rPr>
    </w:lvl>
    <w:lvl w:ilvl="1" w:tplc="F1D074F8">
      <w:start w:val="1"/>
      <w:numFmt w:val="bullet"/>
      <w:lvlText w:val="o"/>
      <w:lvlJc w:val="left"/>
      <w:pPr>
        <w:ind w:left="1440" w:hanging="360"/>
      </w:pPr>
      <w:rPr>
        <w:rFonts w:ascii="Courier New" w:hAnsi="Courier New" w:cs="Courier New" w:hint="default"/>
        <w:sz w:val="28"/>
        <w:szCs w:val="28"/>
      </w:rPr>
    </w:lvl>
    <w:lvl w:ilvl="2" w:tplc="D9D8C324">
      <w:start w:val="1"/>
      <w:numFmt w:val="bullet"/>
      <w:lvlText w:val=""/>
      <w:lvlJc w:val="left"/>
      <w:pPr>
        <w:ind w:left="2160" w:hanging="360"/>
      </w:pPr>
      <w:rPr>
        <w:rFonts w:ascii="Wingdings" w:hAnsi="Wingdings" w:hint="default"/>
        <w:sz w:val="36"/>
        <w:szCs w:val="3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44DBC"/>
    <w:multiLevelType w:val="hybridMultilevel"/>
    <w:tmpl w:val="EACEA712"/>
    <w:lvl w:ilvl="0" w:tplc="6A081BAE">
      <w:start w:val="1"/>
      <w:numFmt w:val="bullet"/>
      <w:lvlText w:val=""/>
      <w:lvlJc w:val="left"/>
      <w:pPr>
        <w:ind w:left="720" w:hanging="360"/>
      </w:pPr>
      <w:rPr>
        <w:rFonts w:ascii="Wingdings" w:hAnsi="Wingdings" w:hint="default"/>
        <w:b w:val="0"/>
        <w:i w:val="0"/>
        <w:color w:val="53565A"/>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55AC7"/>
    <w:multiLevelType w:val="hybridMultilevel"/>
    <w:tmpl w:val="2508FE50"/>
    <w:lvl w:ilvl="0" w:tplc="6A76C360">
      <w:start w:val="1"/>
      <w:numFmt w:val="bullet"/>
      <w:lvlText w:val=""/>
      <w:lvlJc w:val="left"/>
      <w:pPr>
        <w:ind w:left="720" w:hanging="360"/>
      </w:pPr>
      <w:rPr>
        <w:rFonts w:ascii="Wingdings" w:hAnsi="Wingdings" w:hint="default"/>
        <w:b w:val="0"/>
        <w:i w:val="0"/>
        <w:color w:val="auto"/>
        <w:spacing w:val="0"/>
        <w:sz w:val="20"/>
      </w:rPr>
    </w:lvl>
    <w:lvl w:ilvl="1" w:tplc="C902E710">
      <w:start w:val="1"/>
      <w:numFmt w:val="bullet"/>
      <w:lvlText w:val="o"/>
      <w:lvlJc w:val="left"/>
      <w:pPr>
        <w:ind w:left="1440" w:hanging="360"/>
      </w:pPr>
      <w:rPr>
        <w:rFonts w:ascii="Courier New" w:hAnsi="Courier New" w:cs="Courier New" w:hint="default"/>
        <w:sz w:val="28"/>
        <w:szCs w:val="28"/>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E24F79"/>
    <w:multiLevelType w:val="hybridMultilevel"/>
    <w:tmpl w:val="77101036"/>
    <w:lvl w:ilvl="0" w:tplc="2F007154">
      <w:start w:val="1"/>
      <w:numFmt w:val="bullet"/>
      <w:lvlText w:val=""/>
      <w:lvlJc w:val="left"/>
      <w:pPr>
        <w:ind w:left="720" w:hanging="360"/>
      </w:pPr>
      <w:rPr>
        <w:rFonts w:ascii="Wingdings" w:hAnsi="Wingdings" w:hint="default"/>
        <w:b w:val="0"/>
        <w:i w:val="0"/>
        <w:color w:val="auto"/>
        <w:spacing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794905458">
    <w:abstractNumId w:val="0"/>
  </w:num>
  <w:num w:numId="2" w16cid:durableId="1007057347">
    <w:abstractNumId w:val="4"/>
  </w:num>
  <w:num w:numId="3" w16cid:durableId="1157843407">
    <w:abstractNumId w:val="7"/>
  </w:num>
  <w:num w:numId="4" w16cid:durableId="1581208024">
    <w:abstractNumId w:val="5"/>
  </w:num>
  <w:num w:numId="5" w16cid:durableId="2022510740">
    <w:abstractNumId w:val="6"/>
  </w:num>
  <w:num w:numId="6" w16cid:durableId="506016519">
    <w:abstractNumId w:val="1"/>
  </w:num>
  <w:num w:numId="7" w16cid:durableId="318659825">
    <w:abstractNumId w:val="2"/>
  </w:num>
  <w:num w:numId="8" w16cid:durableId="965769061">
    <w:abstractNumId w:val="3"/>
  </w:num>
  <w:num w:numId="9" w16cid:durableId="1852252613">
    <w:abstractNumId w:val="9"/>
  </w:num>
  <w:num w:numId="10" w16cid:durableId="1680963502">
    <w:abstractNumId w:val="10"/>
  </w:num>
  <w:num w:numId="11" w16cid:durableId="1308126192">
    <w:abstractNumId w:val="13"/>
  </w:num>
  <w:num w:numId="12" w16cid:durableId="1926111861">
    <w:abstractNumId w:val="8"/>
  </w:num>
  <w:num w:numId="13" w16cid:durableId="473526137">
    <w:abstractNumId w:val="11"/>
  </w:num>
  <w:num w:numId="14" w16cid:durableId="479077176">
    <w:abstractNumId w:val="10"/>
  </w:num>
  <w:num w:numId="15" w16cid:durableId="1811171615">
    <w:abstractNumId w:val="10"/>
  </w:num>
  <w:num w:numId="16" w16cid:durableId="48770351">
    <w:abstractNumId w:val="14"/>
  </w:num>
  <w:num w:numId="17" w16cid:durableId="1499812670">
    <w:abstractNumId w:val="12"/>
  </w:num>
  <w:num w:numId="18" w16cid:durableId="104748396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91"/>
    <w:rsid w:val="00000DF6"/>
    <w:rsid w:val="000037DB"/>
    <w:rsid w:val="00012920"/>
    <w:rsid w:val="0001561C"/>
    <w:rsid w:val="00020F80"/>
    <w:rsid w:val="0002549D"/>
    <w:rsid w:val="00026387"/>
    <w:rsid w:val="00034E4B"/>
    <w:rsid w:val="0004319A"/>
    <w:rsid w:val="000502F5"/>
    <w:rsid w:val="00051F2E"/>
    <w:rsid w:val="000569E2"/>
    <w:rsid w:val="00065605"/>
    <w:rsid w:val="00070992"/>
    <w:rsid w:val="000872AB"/>
    <w:rsid w:val="00096EAB"/>
    <w:rsid w:val="000B06EB"/>
    <w:rsid w:val="000C401F"/>
    <w:rsid w:val="000C6A83"/>
    <w:rsid w:val="000D1F39"/>
    <w:rsid w:val="000D3366"/>
    <w:rsid w:val="000E45EC"/>
    <w:rsid w:val="000F2A23"/>
    <w:rsid w:val="000F418B"/>
    <w:rsid w:val="000F45BC"/>
    <w:rsid w:val="00110C21"/>
    <w:rsid w:val="00117538"/>
    <w:rsid w:val="001408C7"/>
    <w:rsid w:val="00145263"/>
    <w:rsid w:val="00155CD0"/>
    <w:rsid w:val="00156490"/>
    <w:rsid w:val="00165B99"/>
    <w:rsid w:val="001708DC"/>
    <w:rsid w:val="001819FA"/>
    <w:rsid w:val="00181F91"/>
    <w:rsid w:val="00185DD1"/>
    <w:rsid w:val="00185E7B"/>
    <w:rsid w:val="001935D3"/>
    <w:rsid w:val="00193889"/>
    <w:rsid w:val="001A44EF"/>
    <w:rsid w:val="001A6C79"/>
    <w:rsid w:val="001B0DE8"/>
    <w:rsid w:val="001B0F43"/>
    <w:rsid w:val="001C1B02"/>
    <w:rsid w:val="001C3B71"/>
    <w:rsid w:val="001C53CC"/>
    <w:rsid w:val="001D14AF"/>
    <w:rsid w:val="001D415A"/>
    <w:rsid w:val="001D4678"/>
    <w:rsid w:val="001F64DC"/>
    <w:rsid w:val="00202B4C"/>
    <w:rsid w:val="00203919"/>
    <w:rsid w:val="00210E2B"/>
    <w:rsid w:val="0021288B"/>
    <w:rsid w:val="00214B31"/>
    <w:rsid w:val="0021646D"/>
    <w:rsid w:val="002175A6"/>
    <w:rsid w:val="002257D4"/>
    <w:rsid w:val="00227262"/>
    <w:rsid w:val="00234D7C"/>
    <w:rsid w:val="00236A02"/>
    <w:rsid w:val="00246B10"/>
    <w:rsid w:val="00257195"/>
    <w:rsid w:val="00261342"/>
    <w:rsid w:val="00265DB5"/>
    <w:rsid w:val="002743A6"/>
    <w:rsid w:val="0028558B"/>
    <w:rsid w:val="002912B9"/>
    <w:rsid w:val="002C6252"/>
    <w:rsid w:val="002C658A"/>
    <w:rsid w:val="002D04A9"/>
    <w:rsid w:val="002D67BB"/>
    <w:rsid w:val="002F5842"/>
    <w:rsid w:val="002F67D3"/>
    <w:rsid w:val="002F7263"/>
    <w:rsid w:val="00302079"/>
    <w:rsid w:val="003104AA"/>
    <w:rsid w:val="0031323D"/>
    <w:rsid w:val="003210E6"/>
    <w:rsid w:val="00321159"/>
    <w:rsid w:val="003239A1"/>
    <w:rsid w:val="00362108"/>
    <w:rsid w:val="00370C74"/>
    <w:rsid w:val="00390601"/>
    <w:rsid w:val="003957F8"/>
    <w:rsid w:val="00395C04"/>
    <w:rsid w:val="003966CC"/>
    <w:rsid w:val="003A255C"/>
    <w:rsid w:val="003A593C"/>
    <w:rsid w:val="003A5C7E"/>
    <w:rsid w:val="003A7CA0"/>
    <w:rsid w:val="003B5F00"/>
    <w:rsid w:val="003C121C"/>
    <w:rsid w:val="003C2013"/>
    <w:rsid w:val="003C3325"/>
    <w:rsid w:val="003D640B"/>
    <w:rsid w:val="003E137D"/>
    <w:rsid w:val="003F6439"/>
    <w:rsid w:val="00400B20"/>
    <w:rsid w:val="0040118A"/>
    <w:rsid w:val="004124F3"/>
    <w:rsid w:val="00422651"/>
    <w:rsid w:val="004270EE"/>
    <w:rsid w:val="004333DD"/>
    <w:rsid w:val="00437202"/>
    <w:rsid w:val="00440365"/>
    <w:rsid w:val="00440B85"/>
    <w:rsid w:val="00440D73"/>
    <w:rsid w:val="00447863"/>
    <w:rsid w:val="00454099"/>
    <w:rsid w:val="0046187A"/>
    <w:rsid w:val="004649E0"/>
    <w:rsid w:val="00485574"/>
    <w:rsid w:val="0049059B"/>
    <w:rsid w:val="00494E99"/>
    <w:rsid w:val="004A08B9"/>
    <w:rsid w:val="004B0164"/>
    <w:rsid w:val="004B48D9"/>
    <w:rsid w:val="004C6604"/>
    <w:rsid w:val="004D1406"/>
    <w:rsid w:val="004D3AAA"/>
    <w:rsid w:val="004D7260"/>
    <w:rsid w:val="004E30B1"/>
    <w:rsid w:val="005121E1"/>
    <w:rsid w:val="00520020"/>
    <w:rsid w:val="00521CF4"/>
    <w:rsid w:val="00522148"/>
    <w:rsid w:val="0052409A"/>
    <w:rsid w:val="005270E9"/>
    <w:rsid w:val="00534CED"/>
    <w:rsid w:val="00540E68"/>
    <w:rsid w:val="00544991"/>
    <w:rsid w:val="005462E8"/>
    <w:rsid w:val="0054737B"/>
    <w:rsid w:val="00554060"/>
    <w:rsid w:val="005607AE"/>
    <w:rsid w:val="00582129"/>
    <w:rsid w:val="005839A9"/>
    <w:rsid w:val="00591417"/>
    <w:rsid w:val="00595C57"/>
    <w:rsid w:val="005A5F71"/>
    <w:rsid w:val="005B1FD7"/>
    <w:rsid w:val="005B42C6"/>
    <w:rsid w:val="006023F0"/>
    <w:rsid w:val="00606ECF"/>
    <w:rsid w:val="00613E85"/>
    <w:rsid w:val="006146B7"/>
    <w:rsid w:val="00627271"/>
    <w:rsid w:val="0062736C"/>
    <w:rsid w:val="00627F10"/>
    <w:rsid w:val="00635687"/>
    <w:rsid w:val="0063679F"/>
    <w:rsid w:val="006406EC"/>
    <w:rsid w:val="00640C86"/>
    <w:rsid w:val="00640CAF"/>
    <w:rsid w:val="0064570D"/>
    <w:rsid w:val="0065088E"/>
    <w:rsid w:val="00654F40"/>
    <w:rsid w:val="006575E8"/>
    <w:rsid w:val="00671082"/>
    <w:rsid w:val="00671F29"/>
    <w:rsid w:val="00691C87"/>
    <w:rsid w:val="00692A84"/>
    <w:rsid w:val="00693436"/>
    <w:rsid w:val="006A1F63"/>
    <w:rsid w:val="006A3813"/>
    <w:rsid w:val="006B060B"/>
    <w:rsid w:val="006B111C"/>
    <w:rsid w:val="006B3C3A"/>
    <w:rsid w:val="006B5177"/>
    <w:rsid w:val="006B793B"/>
    <w:rsid w:val="006C65CA"/>
    <w:rsid w:val="006E577F"/>
    <w:rsid w:val="006E7A2E"/>
    <w:rsid w:val="006F2788"/>
    <w:rsid w:val="006F7417"/>
    <w:rsid w:val="00702552"/>
    <w:rsid w:val="0070267E"/>
    <w:rsid w:val="00705155"/>
    <w:rsid w:val="00720556"/>
    <w:rsid w:val="00720DA1"/>
    <w:rsid w:val="007336AD"/>
    <w:rsid w:val="007356A4"/>
    <w:rsid w:val="00737FAB"/>
    <w:rsid w:val="00740776"/>
    <w:rsid w:val="007409C4"/>
    <w:rsid w:val="00747251"/>
    <w:rsid w:val="00747B55"/>
    <w:rsid w:val="007564FB"/>
    <w:rsid w:val="00757E0F"/>
    <w:rsid w:val="00765EA1"/>
    <w:rsid w:val="007662D2"/>
    <w:rsid w:val="00767B05"/>
    <w:rsid w:val="00773A32"/>
    <w:rsid w:val="00773BE2"/>
    <w:rsid w:val="00785FC8"/>
    <w:rsid w:val="007C1BE5"/>
    <w:rsid w:val="007C1D6D"/>
    <w:rsid w:val="007C30D6"/>
    <w:rsid w:val="007C3862"/>
    <w:rsid w:val="007C753C"/>
    <w:rsid w:val="007C7E98"/>
    <w:rsid w:val="007D0B60"/>
    <w:rsid w:val="007D12BB"/>
    <w:rsid w:val="007D294F"/>
    <w:rsid w:val="007D7033"/>
    <w:rsid w:val="007E7C3D"/>
    <w:rsid w:val="007F02F0"/>
    <w:rsid w:val="007F34C5"/>
    <w:rsid w:val="0082175D"/>
    <w:rsid w:val="008272FB"/>
    <w:rsid w:val="008301C8"/>
    <w:rsid w:val="0083051C"/>
    <w:rsid w:val="008453D8"/>
    <w:rsid w:val="0084639D"/>
    <w:rsid w:val="0085325C"/>
    <w:rsid w:val="00860862"/>
    <w:rsid w:val="00863A02"/>
    <w:rsid w:val="00871C60"/>
    <w:rsid w:val="00873700"/>
    <w:rsid w:val="00890147"/>
    <w:rsid w:val="008920C0"/>
    <w:rsid w:val="008A3C33"/>
    <w:rsid w:val="008C07CF"/>
    <w:rsid w:val="008C5C93"/>
    <w:rsid w:val="008D7AAF"/>
    <w:rsid w:val="008E1E3F"/>
    <w:rsid w:val="008E7712"/>
    <w:rsid w:val="008F4F0B"/>
    <w:rsid w:val="009005BC"/>
    <w:rsid w:val="00905A53"/>
    <w:rsid w:val="0091187C"/>
    <w:rsid w:val="00912256"/>
    <w:rsid w:val="00925E91"/>
    <w:rsid w:val="00936CE0"/>
    <w:rsid w:val="00937F2D"/>
    <w:rsid w:val="00946C0F"/>
    <w:rsid w:val="00952C6F"/>
    <w:rsid w:val="00970956"/>
    <w:rsid w:val="00975E79"/>
    <w:rsid w:val="00980454"/>
    <w:rsid w:val="00987A0D"/>
    <w:rsid w:val="00991AA8"/>
    <w:rsid w:val="009A1B2C"/>
    <w:rsid w:val="009B38EC"/>
    <w:rsid w:val="009C6F49"/>
    <w:rsid w:val="009D0C90"/>
    <w:rsid w:val="009D2E43"/>
    <w:rsid w:val="009D51BA"/>
    <w:rsid w:val="009D6BFF"/>
    <w:rsid w:val="009E3A2B"/>
    <w:rsid w:val="009E79E1"/>
    <w:rsid w:val="009F154A"/>
    <w:rsid w:val="00A0235F"/>
    <w:rsid w:val="00A10A97"/>
    <w:rsid w:val="00A24601"/>
    <w:rsid w:val="00A26624"/>
    <w:rsid w:val="00A2698B"/>
    <w:rsid w:val="00A357E2"/>
    <w:rsid w:val="00A429D5"/>
    <w:rsid w:val="00A476C9"/>
    <w:rsid w:val="00A5361C"/>
    <w:rsid w:val="00A618B6"/>
    <w:rsid w:val="00A72AF3"/>
    <w:rsid w:val="00A75123"/>
    <w:rsid w:val="00A76F97"/>
    <w:rsid w:val="00A820BD"/>
    <w:rsid w:val="00A82CBD"/>
    <w:rsid w:val="00A92782"/>
    <w:rsid w:val="00A95B46"/>
    <w:rsid w:val="00AA08E3"/>
    <w:rsid w:val="00AA46F6"/>
    <w:rsid w:val="00AB21B1"/>
    <w:rsid w:val="00AB2963"/>
    <w:rsid w:val="00AB632B"/>
    <w:rsid w:val="00AC1A28"/>
    <w:rsid w:val="00AC7ADD"/>
    <w:rsid w:val="00AD1FBE"/>
    <w:rsid w:val="00AE05EE"/>
    <w:rsid w:val="00AE5D61"/>
    <w:rsid w:val="00AE7550"/>
    <w:rsid w:val="00B169B4"/>
    <w:rsid w:val="00B257FF"/>
    <w:rsid w:val="00B3286B"/>
    <w:rsid w:val="00B37472"/>
    <w:rsid w:val="00B43667"/>
    <w:rsid w:val="00B43CC1"/>
    <w:rsid w:val="00B5488F"/>
    <w:rsid w:val="00B615E3"/>
    <w:rsid w:val="00B667E0"/>
    <w:rsid w:val="00B701C8"/>
    <w:rsid w:val="00B8424C"/>
    <w:rsid w:val="00B95996"/>
    <w:rsid w:val="00B9605F"/>
    <w:rsid w:val="00B97201"/>
    <w:rsid w:val="00BA3576"/>
    <w:rsid w:val="00BB733C"/>
    <w:rsid w:val="00BC69D4"/>
    <w:rsid w:val="00BD4756"/>
    <w:rsid w:val="00BD5A2C"/>
    <w:rsid w:val="00BD6BA2"/>
    <w:rsid w:val="00C00506"/>
    <w:rsid w:val="00C17F8A"/>
    <w:rsid w:val="00C23DE5"/>
    <w:rsid w:val="00C25C51"/>
    <w:rsid w:val="00C34D34"/>
    <w:rsid w:val="00C34F6C"/>
    <w:rsid w:val="00C361B8"/>
    <w:rsid w:val="00C431F0"/>
    <w:rsid w:val="00C45BE5"/>
    <w:rsid w:val="00C52652"/>
    <w:rsid w:val="00C629F1"/>
    <w:rsid w:val="00C62E82"/>
    <w:rsid w:val="00C638BF"/>
    <w:rsid w:val="00C726F0"/>
    <w:rsid w:val="00C82D9D"/>
    <w:rsid w:val="00C9039A"/>
    <w:rsid w:val="00CA0F16"/>
    <w:rsid w:val="00CA4FCF"/>
    <w:rsid w:val="00CB1410"/>
    <w:rsid w:val="00CB1EB2"/>
    <w:rsid w:val="00CB3387"/>
    <w:rsid w:val="00CD1D49"/>
    <w:rsid w:val="00CD3F80"/>
    <w:rsid w:val="00CE04A3"/>
    <w:rsid w:val="00CE6897"/>
    <w:rsid w:val="00CF2F05"/>
    <w:rsid w:val="00D048ED"/>
    <w:rsid w:val="00D20A2B"/>
    <w:rsid w:val="00D238C9"/>
    <w:rsid w:val="00D31AC1"/>
    <w:rsid w:val="00D52D5F"/>
    <w:rsid w:val="00D603B9"/>
    <w:rsid w:val="00D63BC2"/>
    <w:rsid w:val="00D70F97"/>
    <w:rsid w:val="00D75974"/>
    <w:rsid w:val="00D77B75"/>
    <w:rsid w:val="00D82AC5"/>
    <w:rsid w:val="00D84E4F"/>
    <w:rsid w:val="00D86FD4"/>
    <w:rsid w:val="00D94804"/>
    <w:rsid w:val="00D96FE5"/>
    <w:rsid w:val="00DC3829"/>
    <w:rsid w:val="00DC5F17"/>
    <w:rsid w:val="00DE1444"/>
    <w:rsid w:val="00DF560A"/>
    <w:rsid w:val="00E028E0"/>
    <w:rsid w:val="00E02F0B"/>
    <w:rsid w:val="00E03645"/>
    <w:rsid w:val="00E05033"/>
    <w:rsid w:val="00E06C31"/>
    <w:rsid w:val="00E23B99"/>
    <w:rsid w:val="00E2600B"/>
    <w:rsid w:val="00E31D9F"/>
    <w:rsid w:val="00E40155"/>
    <w:rsid w:val="00E41AAC"/>
    <w:rsid w:val="00E41E1E"/>
    <w:rsid w:val="00E47C32"/>
    <w:rsid w:val="00E47EA6"/>
    <w:rsid w:val="00E5445B"/>
    <w:rsid w:val="00E5606A"/>
    <w:rsid w:val="00E616FC"/>
    <w:rsid w:val="00E67A53"/>
    <w:rsid w:val="00E87E82"/>
    <w:rsid w:val="00EA00F0"/>
    <w:rsid w:val="00EA3E59"/>
    <w:rsid w:val="00ED064D"/>
    <w:rsid w:val="00ED0D64"/>
    <w:rsid w:val="00ED1065"/>
    <w:rsid w:val="00ED19A3"/>
    <w:rsid w:val="00ED39C5"/>
    <w:rsid w:val="00ED46CE"/>
    <w:rsid w:val="00ED6879"/>
    <w:rsid w:val="00EE48D0"/>
    <w:rsid w:val="00F02224"/>
    <w:rsid w:val="00F11389"/>
    <w:rsid w:val="00F161A4"/>
    <w:rsid w:val="00F21934"/>
    <w:rsid w:val="00F234E6"/>
    <w:rsid w:val="00F3206B"/>
    <w:rsid w:val="00F3767F"/>
    <w:rsid w:val="00F47B07"/>
    <w:rsid w:val="00F47BD3"/>
    <w:rsid w:val="00F722EE"/>
    <w:rsid w:val="00F75170"/>
    <w:rsid w:val="00F7567A"/>
    <w:rsid w:val="00F759EF"/>
    <w:rsid w:val="00F8144E"/>
    <w:rsid w:val="00F82E38"/>
    <w:rsid w:val="00F8450B"/>
    <w:rsid w:val="00F8488C"/>
    <w:rsid w:val="00F852DA"/>
    <w:rsid w:val="00F85C03"/>
    <w:rsid w:val="00F878A6"/>
    <w:rsid w:val="00FA211B"/>
    <w:rsid w:val="00FA71FF"/>
    <w:rsid w:val="00FB1BFD"/>
    <w:rsid w:val="00FB6C9C"/>
    <w:rsid w:val="00FC2399"/>
    <w:rsid w:val="00FD4B64"/>
    <w:rsid w:val="00FE5F0C"/>
    <w:rsid w:val="00FF00B4"/>
    <w:rsid w:val="00FF2392"/>
    <w:rsid w:val="45EB3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47F1"/>
  <w15:chartTrackingRefBased/>
  <w15:docId w15:val="{DE062344-D8EC-4629-A902-DE105FB9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23DE5"/>
    <w:pPr>
      <w:keepNext/>
      <w:keepLines/>
      <w:spacing w:before="40"/>
      <w:outlineLvl w:val="2"/>
    </w:pPr>
    <w:rPr>
      <w:rFonts w:asciiTheme="majorHAnsi" w:eastAsiaTheme="majorEastAsia" w:hAnsiTheme="majorHAnsi" w:cstheme="majorBidi"/>
      <w:color w:val="auto"/>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23DE5"/>
    <w:rPr>
      <w:rFonts w:asciiTheme="majorHAnsi" w:eastAsiaTheme="majorEastAsia" w:hAnsiTheme="majorHAnsi" w:cstheme="majorBidi"/>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10"/>
      </w:numPr>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paragraph" w:customStyle="1" w:styleId="Default">
    <w:name w:val="Default"/>
    <w:rsid w:val="00737FAB"/>
    <w:pPr>
      <w:autoSpaceDE w:val="0"/>
      <w:autoSpaceDN w:val="0"/>
      <w:adjustRightInd w:val="0"/>
    </w:pPr>
    <w:rPr>
      <w:rFonts w:ascii="Arial" w:hAnsi="Arial" w:cs="Arial"/>
      <w:color w:val="000000"/>
    </w:rPr>
  </w:style>
  <w:style w:type="character" w:styleId="Strong">
    <w:name w:val="Strong"/>
    <w:basedOn w:val="DefaultParagraphFont"/>
    <w:uiPriority w:val="22"/>
    <w:qFormat/>
    <w:rsid w:val="006B5177"/>
    <w:rPr>
      <w:b/>
      <w:bC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4958">
      <w:bodyDiv w:val="1"/>
      <w:marLeft w:val="0"/>
      <w:marRight w:val="0"/>
      <w:marTop w:val="0"/>
      <w:marBottom w:val="0"/>
      <w:divBdr>
        <w:top w:val="none" w:sz="0" w:space="0" w:color="auto"/>
        <w:left w:val="none" w:sz="0" w:space="0" w:color="auto"/>
        <w:bottom w:val="none" w:sz="0" w:space="0" w:color="auto"/>
        <w:right w:val="none" w:sz="0" w:space="0" w:color="auto"/>
      </w:divBdr>
    </w:div>
    <w:div w:id="145829331">
      <w:bodyDiv w:val="1"/>
      <w:marLeft w:val="0"/>
      <w:marRight w:val="0"/>
      <w:marTop w:val="0"/>
      <w:marBottom w:val="0"/>
      <w:divBdr>
        <w:top w:val="none" w:sz="0" w:space="0" w:color="auto"/>
        <w:left w:val="none" w:sz="0" w:space="0" w:color="auto"/>
        <w:bottom w:val="none" w:sz="0" w:space="0" w:color="auto"/>
        <w:right w:val="none" w:sz="0" w:space="0" w:color="auto"/>
      </w:divBdr>
    </w:div>
    <w:div w:id="403451407">
      <w:bodyDiv w:val="1"/>
      <w:marLeft w:val="0"/>
      <w:marRight w:val="0"/>
      <w:marTop w:val="0"/>
      <w:marBottom w:val="0"/>
      <w:divBdr>
        <w:top w:val="none" w:sz="0" w:space="0" w:color="auto"/>
        <w:left w:val="none" w:sz="0" w:space="0" w:color="auto"/>
        <w:bottom w:val="none" w:sz="0" w:space="0" w:color="auto"/>
        <w:right w:val="none" w:sz="0" w:space="0" w:color="auto"/>
      </w:divBdr>
      <w:divsChild>
        <w:div w:id="545798078">
          <w:marLeft w:val="547"/>
          <w:marRight w:val="0"/>
          <w:marTop w:val="0"/>
          <w:marBottom w:val="0"/>
          <w:divBdr>
            <w:top w:val="none" w:sz="0" w:space="0" w:color="auto"/>
            <w:left w:val="none" w:sz="0" w:space="0" w:color="auto"/>
            <w:bottom w:val="none" w:sz="0" w:space="0" w:color="auto"/>
            <w:right w:val="none" w:sz="0" w:space="0" w:color="auto"/>
          </w:divBdr>
        </w:div>
      </w:divsChild>
    </w:div>
    <w:div w:id="602760431">
      <w:bodyDiv w:val="1"/>
      <w:marLeft w:val="0"/>
      <w:marRight w:val="0"/>
      <w:marTop w:val="0"/>
      <w:marBottom w:val="0"/>
      <w:divBdr>
        <w:top w:val="none" w:sz="0" w:space="0" w:color="auto"/>
        <w:left w:val="none" w:sz="0" w:space="0" w:color="auto"/>
        <w:bottom w:val="none" w:sz="0" w:space="0" w:color="auto"/>
        <w:right w:val="none" w:sz="0" w:space="0" w:color="auto"/>
      </w:divBdr>
      <w:divsChild>
        <w:div w:id="1871065706">
          <w:marLeft w:val="547"/>
          <w:marRight w:val="0"/>
          <w:marTop w:val="0"/>
          <w:marBottom w:val="0"/>
          <w:divBdr>
            <w:top w:val="none" w:sz="0" w:space="0" w:color="auto"/>
            <w:left w:val="none" w:sz="0" w:space="0" w:color="auto"/>
            <w:bottom w:val="none" w:sz="0" w:space="0" w:color="auto"/>
            <w:right w:val="none" w:sz="0" w:space="0" w:color="auto"/>
          </w:divBdr>
        </w:div>
        <w:div w:id="1270700881">
          <w:marLeft w:val="547"/>
          <w:marRight w:val="0"/>
          <w:marTop w:val="0"/>
          <w:marBottom w:val="0"/>
          <w:divBdr>
            <w:top w:val="none" w:sz="0" w:space="0" w:color="auto"/>
            <w:left w:val="none" w:sz="0" w:space="0" w:color="auto"/>
            <w:bottom w:val="none" w:sz="0" w:space="0" w:color="auto"/>
            <w:right w:val="none" w:sz="0" w:space="0" w:color="auto"/>
          </w:divBdr>
        </w:div>
        <w:div w:id="974480952">
          <w:marLeft w:val="547"/>
          <w:marRight w:val="0"/>
          <w:marTop w:val="0"/>
          <w:marBottom w:val="0"/>
          <w:divBdr>
            <w:top w:val="none" w:sz="0" w:space="0" w:color="auto"/>
            <w:left w:val="none" w:sz="0" w:space="0" w:color="auto"/>
            <w:bottom w:val="none" w:sz="0" w:space="0" w:color="auto"/>
            <w:right w:val="none" w:sz="0" w:space="0" w:color="auto"/>
          </w:divBdr>
        </w:div>
      </w:divsChild>
    </w:div>
    <w:div w:id="605818648">
      <w:bodyDiv w:val="1"/>
      <w:marLeft w:val="0"/>
      <w:marRight w:val="0"/>
      <w:marTop w:val="0"/>
      <w:marBottom w:val="0"/>
      <w:divBdr>
        <w:top w:val="none" w:sz="0" w:space="0" w:color="auto"/>
        <w:left w:val="none" w:sz="0" w:space="0" w:color="auto"/>
        <w:bottom w:val="none" w:sz="0" w:space="0" w:color="auto"/>
        <w:right w:val="none" w:sz="0" w:space="0" w:color="auto"/>
      </w:divBdr>
    </w:div>
    <w:div w:id="755397119">
      <w:bodyDiv w:val="1"/>
      <w:marLeft w:val="0"/>
      <w:marRight w:val="0"/>
      <w:marTop w:val="0"/>
      <w:marBottom w:val="0"/>
      <w:divBdr>
        <w:top w:val="none" w:sz="0" w:space="0" w:color="auto"/>
        <w:left w:val="none" w:sz="0" w:space="0" w:color="auto"/>
        <w:bottom w:val="none" w:sz="0" w:space="0" w:color="auto"/>
        <w:right w:val="none" w:sz="0" w:space="0" w:color="auto"/>
      </w:divBdr>
      <w:divsChild>
        <w:div w:id="1842968909">
          <w:marLeft w:val="547"/>
          <w:marRight w:val="0"/>
          <w:marTop w:val="0"/>
          <w:marBottom w:val="0"/>
          <w:divBdr>
            <w:top w:val="none" w:sz="0" w:space="0" w:color="auto"/>
            <w:left w:val="none" w:sz="0" w:space="0" w:color="auto"/>
            <w:bottom w:val="none" w:sz="0" w:space="0" w:color="auto"/>
            <w:right w:val="none" w:sz="0" w:space="0" w:color="auto"/>
          </w:divBdr>
        </w:div>
      </w:divsChild>
    </w:div>
    <w:div w:id="1002120154">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 w:id="21330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mailto:crt@essex.ac.uk" TargetMode="External"/><Relationship Id="rId26" Type="http://schemas.openxmlformats.org/officeDocument/2006/relationships/hyperlink" Target="mailto:payments@essex.ac.uk" TargetMode="External"/><Relationship Id="rId39" Type="http://schemas.openxmlformats.org/officeDocument/2006/relationships/hyperlink" Target="https://www.essex.ac.uk/governance-and-strategy/governance/policies" TargetMode="External"/><Relationship Id="rId21" Type="http://schemas.openxmlformats.org/officeDocument/2006/relationships/hyperlink" Target="mailto:international@essex.ac.uk" TargetMode="External"/><Relationship Id="rId34" Type="http://schemas.openxmlformats.org/officeDocument/2006/relationships/hyperlink" Target="https://www.essex.ac.uk/staff/exams-and-assessment/assessment-feedback"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ssex.ac.uk/staff/academic-standards-and-quality/changes-to-courses-and-modules" TargetMode="External"/><Relationship Id="rId29" Type="http://schemas.openxmlformats.org/officeDocument/2006/relationships/hyperlink" Target="https://www.essex.ac.uk/sta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mailto:apprenticeships@essex.ac.uk" TargetMode="External"/><Relationship Id="rId32" Type="http://schemas.openxmlformats.org/officeDocument/2006/relationships/hyperlink" Target="https://www.essex.ac.uk/staff/exams-and-assessment/rules-of-assessment" TargetMode="External"/><Relationship Id="rId37" Type="http://schemas.openxmlformats.org/officeDocument/2006/relationships/hyperlink" Target="https://www.essex.ac.uk/postgraduate/masters/applying-to-essex" TargetMode="External"/><Relationship Id="rId40" Type="http://schemas.openxmlformats.org/officeDocument/2006/relationships/hyperlink" Target="mailto:quad@essex.ac.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mailto:tel@essex.ac.uk" TargetMode="External"/><Relationship Id="rId28" Type="http://schemas.openxmlformats.org/officeDocument/2006/relationships/hyperlink" Target="mailto:libline@essex.ac.uk" TargetMode="External"/><Relationship Id="rId36" Type="http://schemas.openxmlformats.org/officeDocument/2006/relationships/hyperlink" Target="https://www.essex.ac.uk/undergraduate/applying-to-essex" TargetMode="External"/><Relationship Id="rId10" Type="http://schemas.openxmlformats.org/officeDocument/2006/relationships/hyperlink" Target="https://internal.essex.ac.uk/CurriculumUpdateEssex/" TargetMode="External"/><Relationship Id="rId19" Type="http://schemas.openxmlformats.org/officeDocument/2006/relationships/hyperlink" Target="https://www.essex.ac.uk/staff/timetables/academic-timetable-contacts" TargetMode="External"/><Relationship Id="rId31" Type="http://schemas.openxmlformats.org/officeDocument/2006/relationships/hyperlink" Target="https://www.essex.ac.uk/staff/exams-and-assessment/assessment-and-marking-policie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nal.essex.ac.uk/CurriculumUpdateEssex/" TargetMode="External"/><Relationship Id="rId14" Type="http://schemas.openxmlformats.org/officeDocument/2006/relationships/diagramColors" Target="diagrams/colors1.xml"/><Relationship Id="rId22" Type="http://schemas.openxmlformats.org/officeDocument/2006/relationships/hyperlink" Target="https://moodle.essex.ac.uk/course/view.php?id=5152" TargetMode="External"/><Relationship Id="rId27" Type="http://schemas.openxmlformats.org/officeDocument/2006/relationships/hyperlink" Target="mailto:wellbeing@essex.ac.uk" TargetMode="External"/><Relationship Id="rId30" Type="http://schemas.openxmlformats.org/officeDocument/2006/relationships/hyperlink" Target="https://www.essex.ac.uk/staff/exams-and-assessment/assessment-and-marking-policies" TargetMode="External"/><Relationship Id="rId35" Type="http://schemas.openxmlformats.org/officeDocument/2006/relationships/hyperlink" Target="https://www.essex.ac.uk/staff/academic-standards-and-quality/work-based-learning" TargetMode="External"/><Relationship Id="rId43" Type="http://schemas.openxmlformats.org/officeDocument/2006/relationships/header" Target="header1.xml"/><Relationship Id="rId8" Type="http://schemas.openxmlformats.org/officeDocument/2006/relationships/hyperlink" Target="https://ssrs.essex.ac.uk/reporting/sao/CRRM%20Reports/Modules%20that%20are%20Core%20or%20Compulsory%20on%20External%20Department%20Courses.rdl?d=w0a89178b509f44398559b8cd0cd9a7b6&amp;Source=https%3A%2F%2Fssrs%2Eessex%2Eac%2Euk%2Freporting%2Fsao%2FCRRM%2520Reports%2FForms%2Fall%2Easpx"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mailto:quad@essex.ac.uk" TargetMode="External"/><Relationship Id="rId25" Type="http://schemas.openxmlformats.org/officeDocument/2006/relationships/hyperlink" Target="mailto:income@essex.ac.uk" TargetMode="External"/><Relationship Id="rId33" Type="http://schemas.openxmlformats.org/officeDocument/2006/relationships/hyperlink" Target="https://www.essex.ac.uk/staff/exams-and-assessment/rules-of-assessment" TargetMode="External"/><Relationship Id="rId38" Type="http://schemas.openxmlformats.org/officeDocument/2006/relationships/hyperlink" Target="https://www.essex.ac.uk/staff/health-and-safety-support/policies" TargetMode="External"/><Relationship Id="rId46" Type="http://schemas.openxmlformats.org/officeDocument/2006/relationships/theme" Target="theme/theme1.xml"/><Relationship Id="rId20" Type="http://schemas.openxmlformats.org/officeDocument/2006/relationships/hyperlink" Target="mailto:cto@essex.ac.uk" TargetMode="External"/><Relationship Id="rId41" Type="http://schemas.openxmlformats.org/officeDocument/2006/relationships/hyperlink" Target="mailto:crt@esse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3" Type="http://schemas.openxmlformats.org/officeDocument/2006/relationships/hyperlink" Target="#_Resources"/><Relationship Id="rId7" Type="http://schemas.openxmlformats.org/officeDocument/2006/relationships/hyperlink" Target="#_Quality_and_Academic"/><Relationship Id="rId2" Type="http://schemas.openxmlformats.org/officeDocument/2006/relationships/hyperlink" Target="#_Technology-Enhanced_Learning"/><Relationship Id="rId1" Type="http://schemas.openxmlformats.org/officeDocument/2006/relationships/hyperlink" Target="#_Central_Timetabling_and"/><Relationship Id="rId6" Type="http://schemas.openxmlformats.org/officeDocument/2006/relationships/hyperlink" Target="#_Apprenticeships"/><Relationship Id="rId5" Type="http://schemas.openxmlformats.org/officeDocument/2006/relationships/hyperlink" Target="#_University_Policies"/><Relationship Id="rId4" Type="http://schemas.openxmlformats.org/officeDocument/2006/relationships/hyperlink" Target="#_Immigration_and_visa"/></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4F485-6814-4554-9F2E-387A65226B04}"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en-US"/>
        </a:p>
      </dgm:t>
    </dgm:pt>
    <dgm:pt modelId="{C32D1E55-3F4A-448B-B57A-9D1A450966D1}">
      <dgm:prSet phldrT="[Text]"/>
      <dgm:spPr>
        <a:xfrm>
          <a:off x="557485" y="1482629"/>
          <a:ext cx="6106007" cy="423576"/>
        </a:xfrm>
        <a:solidFill>
          <a:srgbClr val="4AB5C4"/>
        </a:solidFill>
        <a:ln w="12700" cap="flat" cmpd="sng" algn="ctr">
          <a:solidFill>
            <a:srgbClr val="FFFFFF">
              <a:hueOff val="0"/>
              <a:satOff val="0"/>
              <a:lumOff val="0"/>
              <a:alphaOff val="0"/>
            </a:srgbClr>
          </a:solidFill>
          <a:prstDash val="solid"/>
          <a:miter lim="800000"/>
        </a:ln>
        <a:effectLst/>
      </dgm:spPr>
      <dgm:t>
        <a:bodyPr/>
        <a:lstStyle/>
        <a:p>
          <a:pPr>
            <a:buNone/>
          </a:pPr>
          <a:r>
            <a:rPr lang="en-US">
              <a:solidFill>
                <a:sysClr val="windowText" lastClr="000000"/>
              </a:solidFill>
              <a:latin typeface="Arial" panose="020B0604020202020204"/>
              <a:ea typeface="+mn-ea"/>
              <a:cs typeface="+mn-cs"/>
            </a:rPr>
            <a:t>Central Timetabling and Room Bookings</a:t>
          </a:r>
          <a:endParaRPr lang="en-US">
            <a:solidFill>
              <a:schemeClr val="bg1"/>
            </a:solidFill>
            <a:latin typeface="Arial" panose="020B0604020202020204"/>
            <a:ea typeface="+mn-ea"/>
            <a:cs typeface="+mn-cs"/>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7A7F83F1-245B-4BEA-94C8-9DBFC706A2FB}" type="parTrans" cxnId="{C273B1C5-CFBB-48CF-90E2-AE0C6D6C7743}">
      <dgm:prSet/>
      <dgm:spPr/>
      <dgm:t>
        <a:bodyPr/>
        <a:lstStyle/>
        <a:p>
          <a:endParaRPr lang="en-US"/>
        </a:p>
      </dgm:t>
    </dgm:pt>
    <dgm:pt modelId="{B2EDC6A7-414E-4F7D-BCBB-0ABBC57BDB6F}" type="sibTrans" cxnId="{C273B1C5-CFBB-48CF-90E2-AE0C6D6C7743}">
      <dgm:prSet/>
      <dgm:spPr>
        <a:xfrm>
          <a:off x="-3111501" y="-478977"/>
          <a:ext cx="3711315" cy="3711315"/>
        </a:xfrm>
        <a:solidFill>
          <a:srgbClr val="029676"/>
        </a:solidFill>
        <a:ln w="12700" cap="flat" cmpd="sng" algn="ctr">
          <a:solidFill>
            <a:srgbClr val="029676"/>
          </a:solidFill>
          <a:prstDash val="solid"/>
          <a:miter lim="800000"/>
        </a:ln>
        <a:effectLst/>
      </dgm:spPr>
      <dgm:t>
        <a:bodyPr/>
        <a:lstStyle/>
        <a:p>
          <a:endParaRPr lang="en-US"/>
        </a:p>
      </dgm:t>
    </dgm:pt>
    <dgm:pt modelId="{ACF6DB70-2B3C-4EFA-BBA0-63D266513715}">
      <dgm:prSet phldrT="[Text]"/>
      <dgm:spPr>
        <a:xfrm>
          <a:off x="557485" y="1482629"/>
          <a:ext cx="6106007" cy="423576"/>
        </a:xfrm>
        <a:solidFill>
          <a:srgbClr val="27BEC0"/>
        </a:solidFill>
        <a:ln w="12700" cap="flat" cmpd="sng" algn="ctr">
          <a:solidFill>
            <a:srgbClr val="FFFFFF">
              <a:hueOff val="0"/>
              <a:satOff val="0"/>
              <a:lumOff val="0"/>
              <a:alphaOff val="0"/>
            </a:srgbClr>
          </a:solidFill>
          <a:prstDash val="solid"/>
          <a:miter lim="800000"/>
        </a:ln>
        <a:effectLst/>
      </dgm:spPr>
      <dgm:t>
        <a:bodyPr/>
        <a:lstStyle/>
        <a:p>
          <a:pPr>
            <a:buNone/>
          </a:pPr>
          <a:r>
            <a:rPr lang="en-GB">
              <a:solidFill>
                <a:sysClr val="windowText" lastClr="000000"/>
              </a:solidFill>
              <a:latin typeface="Arial" panose="020B0604020202020204"/>
              <a:ea typeface="+mn-ea"/>
              <a:cs typeface="+mn-cs"/>
            </a:rPr>
            <a:t>Technology-Enhanced Learning</a:t>
          </a:r>
          <a:endParaRPr lang="en-US">
            <a:solidFill>
              <a:sysClr val="windowText" lastClr="000000"/>
            </a:solidFill>
            <a:latin typeface="Arial" panose="020B0604020202020204"/>
            <a:ea typeface="+mn-ea"/>
            <a:cs typeface="+mn-cs"/>
          </a:endParaRPr>
        </a:p>
      </dgm:t>
      <dgm:extLst>
        <a:ext uri="{E40237B7-FDA0-4F09-8148-C483321AD2D9}">
          <dgm14:cNvPr xmlns:dgm14="http://schemas.microsoft.com/office/drawing/2010/diagram" id="0" name="">
            <a:hlinkClick xmlns:r="http://schemas.openxmlformats.org/officeDocument/2006/relationships" r:id="rId2"/>
          </dgm14:cNvPr>
        </a:ext>
      </dgm:extLst>
    </dgm:pt>
    <dgm:pt modelId="{0E5A8023-F8B1-42C7-B1DE-623C63924D88}" type="parTrans" cxnId="{17B9FB76-9F4A-4655-82B2-04B1ADB201DA}">
      <dgm:prSet/>
      <dgm:spPr/>
      <dgm:t>
        <a:bodyPr/>
        <a:lstStyle/>
        <a:p>
          <a:endParaRPr lang="en-US"/>
        </a:p>
      </dgm:t>
    </dgm:pt>
    <dgm:pt modelId="{B93F1396-F3D8-437E-88E2-C3F030B36ADC}" type="sibTrans" cxnId="{17B9FB76-9F4A-4655-82B2-04B1ADB201DA}">
      <dgm:prSet/>
      <dgm:spPr/>
      <dgm:t>
        <a:bodyPr/>
        <a:lstStyle/>
        <a:p>
          <a:endParaRPr lang="en-US"/>
        </a:p>
      </dgm:t>
    </dgm:pt>
    <dgm:pt modelId="{368AFEEA-70A9-4D69-8F88-39E9659C3AB3}">
      <dgm:prSet phldrT="[Text]"/>
      <dgm:spPr>
        <a:xfrm>
          <a:off x="314639" y="2118104"/>
          <a:ext cx="6348853" cy="423576"/>
        </a:xfrm>
        <a:solidFill>
          <a:srgbClr val="A3DAE1"/>
        </a:solidFill>
        <a:ln w="12700" cap="flat" cmpd="sng" algn="ctr">
          <a:solidFill>
            <a:srgbClr val="FFFFFF">
              <a:hueOff val="0"/>
              <a:satOff val="0"/>
              <a:lumOff val="0"/>
              <a:alphaOff val="0"/>
            </a:srgbClr>
          </a:solidFill>
          <a:prstDash val="solid"/>
          <a:miter lim="800000"/>
        </a:ln>
        <a:effectLst/>
      </dgm:spPr>
      <dgm:t>
        <a:bodyPr/>
        <a:lstStyle/>
        <a:p>
          <a:pPr>
            <a:buNone/>
          </a:pPr>
          <a:r>
            <a:rPr lang="en-GB">
              <a:solidFill>
                <a:sysClr val="windowText" lastClr="000000"/>
              </a:solidFill>
              <a:latin typeface="Arial" panose="020B0604020202020204"/>
              <a:ea typeface="+mn-ea"/>
              <a:cs typeface="+mn-cs"/>
            </a:rPr>
            <a:t>Resources</a:t>
          </a:r>
        </a:p>
      </dgm:t>
      <dgm:extLst>
        <a:ext uri="{E40237B7-FDA0-4F09-8148-C483321AD2D9}">
          <dgm14:cNvPr xmlns:dgm14="http://schemas.microsoft.com/office/drawing/2010/diagram" id="0" name="">
            <a:hlinkClick xmlns:r="http://schemas.openxmlformats.org/officeDocument/2006/relationships" r:id="rId3"/>
          </dgm14:cNvPr>
        </a:ext>
      </dgm:extLst>
    </dgm:pt>
    <dgm:pt modelId="{04B6A6DD-B1F5-4248-8FA5-12478F520D8B}" type="parTrans" cxnId="{31EC9F1F-14ED-4A57-B77B-1DAD4DF1EE48}">
      <dgm:prSet/>
      <dgm:spPr/>
      <dgm:t>
        <a:bodyPr/>
        <a:lstStyle/>
        <a:p>
          <a:endParaRPr lang="en-US"/>
        </a:p>
      </dgm:t>
    </dgm:pt>
    <dgm:pt modelId="{9B50E6A5-2F4F-411A-B3BE-16F63B9D1734}" type="sibTrans" cxnId="{31EC9F1F-14ED-4A57-B77B-1DAD4DF1EE48}">
      <dgm:prSet/>
      <dgm:spPr/>
      <dgm:t>
        <a:bodyPr/>
        <a:lstStyle/>
        <a:p>
          <a:endParaRPr lang="en-US"/>
        </a:p>
      </dgm:t>
    </dgm:pt>
    <dgm:pt modelId="{784FFA8C-304C-4375-81D0-82E352F4837A}">
      <dgm:prSet/>
      <dgm:spPr>
        <a:xfrm>
          <a:off x="557485" y="847153"/>
          <a:ext cx="6106007" cy="423576"/>
        </a:xfrm>
        <a:solidFill>
          <a:srgbClr val="11AE9E"/>
        </a:solidFill>
        <a:ln w="12700" cap="flat" cmpd="sng" algn="ctr">
          <a:solidFill>
            <a:srgbClr val="11AE9E"/>
          </a:solidFill>
          <a:prstDash val="solid"/>
          <a:miter lim="800000"/>
        </a:ln>
        <a:effectLst/>
      </dgm:spPr>
      <dgm:t>
        <a:bodyPr/>
        <a:lstStyle/>
        <a:p>
          <a:pPr>
            <a:buNone/>
          </a:pPr>
          <a:r>
            <a:rPr lang="en-GB">
              <a:solidFill>
                <a:sysClr val="windowText" lastClr="000000"/>
              </a:solidFill>
              <a:latin typeface="Arial" panose="020B0604020202020204"/>
              <a:ea typeface="+mn-ea"/>
              <a:cs typeface="+mn-cs"/>
            </a:rPr>
            <a:t>Immigration and visa requirements</a:t>
          </a:r>
          <a:endParaRPr lang="en-US">
            <a:solidFill>
              <a:schemeClr val="bg1"/>
            </a:solidFill>
            <a:latin typeface="Arial" panose="020B0604020202020204"/>
            <a:ea typeface="+mn-ea"/>
            <a:cs typeface="+mn-cs"/>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57BB1181-6E30-40D1-8BBE-A9E78C4D185D}" type="parTrans" cxnId="{1B6BE349-4EB2-43D1-B44F-1F4998B5EDA5}">
      <dgm:prSet/>
      <dgm:spPr/>
      <dgm:t>
        <a:bodyPr/>
        <a:lstStyle/>
        <a:p>
          <a:endParaRPr lang="en-US"/>
        </a:p>
      </dgm:t>
    </dgm:pt>
    <dgm:pt modelId="{FE356E22-F8EB-49CD-B201-E89F3C44A46C}" type="sibTrans" cxnId="{1B6BE349-4EB2-43D1-B44F-1F4998B5EDA5}">
      <dgm:prSet/>
      <dgm:spPr/>
      <dgm:t>
        <a:bodyPr/>
        <a:lstStyle/>
        <a:p>
          <a:endParaRPr lang="en-US"/>
        </a:p>
      </dgm:t>
    </dgm:pt>
    <dgm:pt modelId="{6DAFD63E-50BB-4F9B-9FED-6274046F8942}">
      <dgm:prSet phldrT="[Text]"/>
      <dgm:spPr>
        <a:xfrm>
          <a:off x="314639" y="2118104"/>
          <a:ext cx="6348853" cy="423576"/>
        </a:xfrm>
        <a:solidFill>
          <a:srgbClr val="C9E9ED"/>
        </a:solidFill>
        <a:ln w="12700" cap="flat" cmpd="sng" algn="ctr">
          <a:solidFill>
            <a:srgbClr val="FFFFFF">
              <a:hueOff val="0"/>
              <a:satOff val="0"/>
              <a:lumOff val="0"/>
              <a:alphaOff val="0"/>
            </a:srgbClr>
          </a:solidFill>
          <a:prstDash val="solid"/>
          <a:miter lim="800000"/>
        </a:ln>
        <a:effectLst/>
      </dgm:spPr>
      <dgm:t>
        <a:bodyPr/>
        <a:lstStyle/>
        <a:p>
          <a:pPr>
            <a:buNone/>
          </a:pPr>
          <a:r>
            <a:rPr lang="en-GB">
              <a:solidFill>
                <a:sysClr val="windowText" lastClr="000000"/>
              </a:solidFill>
              <a:latin typeface="Arial" panose="020B0604020202020204"/>
              <a:ea typeface="+mn-ea"/>
              <a:cs typeface="+mn-cs"/>
            </a:rPr>
            <a:t>University policies</a:t>
          </a:r>
        </a:p>
      </dgm:t>
      <dgm:extLst>
        <a:ext uri="{E40237B7-FDA0-4F09-8148-C483321AD2D9}">
          <dgm14:cNvPr xmlns:dgm14="http://schemas.microsoft.com/office/drawing/2010/diagram" id="0" name="">
            <a:hlinkClick xmlns:r="http://schemas.openxmlformats.org/officeDocument/2006/relationships" r:id="rId5"/>
          </dgm14:cNvPr>
        </a:ext>
      </dgm:extLst>
    </dgm:pt>
    <dgm:pt modelId="{28C1364C-34AA-4A3B-9424-B8308ECC8DF9}" type="parTrans" cxnId="{3B2BB2C7-D354-4432-9A0E-A23BAEE3124D}">
      <dgm:prSet/>
      <dgm:spPr/>
      <dgm:t>
        <a:bodyPr/>
        <a:lstStyle/>
        <a:p>
          <a:endParaRPr lang="en-GB"/>
        </a:p>
      </dgm:t>
    </dgm:pt>
    <dgm:pt modelId="{6B91B121-A7DC-475F-9A71-4E4294E796E1}" type="sibTrans" cxnId="{3B2BB2C7-D354-4432-9A0E-A23BAEE3124D}">
      <dgm:prSet/>
      <dgm:spPr/>
      <dgm:t>
        <a:bodyPr/>
        <a:lstStyle/>
        <a:p>
          <a:endParaRPr lang="en-GB"/>
        </a:p>
      </dgm:t>
    </dgm:pt>
    <dgm:pt modelId="{8F53433B-0DAC-4129-B14C-E853AA426289}">
      <dgm:prSet phldrT="[Text]"/>
      <dgm:spPr>
        <a:xfrm>
          <a:off x="557485" y="1482629"/>
          <a:ext cx="6106007" cy="423576"/>
        </a:xfrm>
        <a:solidFill>
          <a:srgbClr val="4AB5C4"/>
        </a:solidFill>
        <a:ln w="12700" cap="flat" cmpd="sng" algn="ctr">
          <a:solidFill>
            <a:srgbClr val="FFFFFF">
              <a:hueOff val="0"/>
              <a:satOff val="0"/>
              <a:lumOff val="0"/>
              <a:alphaOff val="0"/>
            </a:srgbClr>
          </a:solidFill>
          <a:prstDash val="solid"/>
          <a:miter lim="800000"/>
        </a:ln>
        <a:effectLst/>
      </dgm:spPr>
      <dgm:t>
        <a:bodyPr/>
        <a:lstStyle/>
        <a:p>
          <a:pPr>
            <a:buNone/>
          </a:pPr>
          <a:r>
            <a:rPr lang="en-US">
              <a:solidFill>
                <a:sysClr val="windowText" lastClr="000000"/>
              </a:solidFill>
              <a:latin typeface="Arial" panose="020B0604020202020204"/>
              <a:ea typeface="+mn-ea"/>
              <a:cs typeface="+mn-cs"/>
            </a:rPr>
            <a:t>Apprenticeships</a:t>
          </a:r>
        </a:p>
      </dgm:t>
      <dgm:extLst>
        <a:ext uri="{E40237B7-FDA0-4F09-8148-C483321AD2D9}">
          <dgm14:cNvPr xmlns:dgm14="http://schemas.microsoft.com/office/drawing/2010/diagram" id="0" name="">
            <a:hlinkClick xmlns:r="http://schemas.openxmlformats.org/officeDocument/2006/relationships" r:id="rId6"/>
          </dgm14:cNvPr>
        </a:ext>
      </dgm:extLst>
    </dgm:pt>
    <dgm:pt modelId="{0A6FB1AD-4800-4AC2-8007-36FBC8C175F6}" type="parTrans" cxnId="{588F3326-A1D0-4F38-BD18-9176980C2297}">
      <dgm:prSet/>
      <dgm:spPr/>
      <dgm:t>
        <a:bodyPr/>
        <a:lstStyle/>
        <a:p>
          <a:endParaRPr lang="en-GB"/>
        </a:p>
      </dgm:t>
    </dgm:pt>
    <dgm:pt modelId="{BFBBE34D-A3DF-4E0B-B96B-D81002717424}" type="sibTrans" cxnId="{588F3326-A1D0-4F38-BD18-9176980C2297}">
      <dgm:prSet/>
      <dgm:spPr/>
      <dgm:t>
        <a:bodyPr/>
        <a:lstStyle/>
        <a:p>
          <a:endParaRPr lang="en-GB"/>
        </a:p>
      </dgm:t>
    </dgm:pt>
    <dgm:pt modelId="{8E1467ED-C2CC-4B0C-92A6-331893E68FB6}">
      <dgm:prSet phldrT="[Text]"/>
      <dgm:spPr>
        <a:xfrm>
          <a:off x="557485" y="1482629"/>
          <a:ext cx="6106007" cy="423576"/>
        </a:xfrm>
        <a:solidFill>
          <a:srgbClr val="4AB5C4"/>
        </a:solidFill>
        <a:ln w="12700" cap="flat" cmpd="sng" algn="ctr">
          <a:solidFill>
            <a:srgbClr val="FFFFFF">
              <a:hueOff val="0"/>
              <a:satOff val="0"/>
              <a:lumOff val="0"/>
              <a:alphaOff val="0"/>
            </a:srgbClr>
          </a:solidFill>
          <a:prstDash val="solid"/>
          <a:miter lim="800000"/>
        </a:ln>
        <a:effectLst/>
      </dgm:spPr>
      <dgm:t>
        <a:bodyPr/>
        <a:lstStyle/>
        <a:p>
          <a:pPr>
            <a:buNone/>
          </a:pPr>
          <a:r>
            <a:rPr lang="en-US">
              <a:solidFill>
                <a:sysClr val="windowText" lastClr="000000"/>
              </a:solidFill>
              <a:latin typeface="Arial" panose="020B0604020202020204"/>
              <a:ea typeface="+mn-ea"/>
              <a:cs typeface="+mn-cs"/>
            </a:rPr>
            <a:t>Quality and Academic Development</a:t>
          </a:r>
        </a:p>
      </dgm:t>
      <dgm:extLst>
        <a:ext uri="{E40237B7-FDA0-4F09-8148-C483321AD2D9}">
          <dgm14:cNvPr xmlns:dgm14="http://schemas.microsoft.com/office/drawing/2010/diagram" id="0" name="">
            <a:hlinkClick xmlns:r="http://schemas.openxmlformats.org/officeDocument/2006/relationships" r:id="rId7"/>
          </dgm14:cNvPr>
        </a:ext>
      </dgm:extLst>
    </dgm:pt>
    <dgm:pt modelId="{477FEA93-5809-43FB-BC2A-A7E7C0F6C2B0}" type="parTrans" cxnId="{2C3157B5-32EE-44F2-8EB1-4CD8F429A9B4}">
      <dgm:prSet/>
      <dgm:spPr/>
      <dgm:t>
        <a:bodyPr/>
        <a:lstStyle/>
        <a:p>
          <a:endParaRPr lang="en-GB"/>
        </a:p>
      </dgm:t>
    </dgm:pt>
    <dgm:pt modelId="{4D0280B0-D9D3-4E29-9DBC-7A1EE5B7B09E}" type="sibTrans" cxnId="{2C3157B5-32EE-44F2-8EB1-4CD8F429A9B4}">
      <dgm:prSet/>
      <dgm:spPr/>
      <dgm:t>
        <a:bodyPr/>
        <a:lstStyle/>
        <a:p>
          <a:endParaRPr lang="en-GB"/>
        </a:p>
      </dgm:t>
    </dgm:pt>
    <dgm:pt modelId="{79535B5C-EB5D-45DF-BF10-9F7060C54DC7}" type="pres">
      <dgm:prSet presAssocID="{5084F485-6814-4554-9F2E-387A65226B04}" presName="Name0" presStyleCnt="0">
        <dgm:presLayoutVars>
          <dgm:chMax val="7"/>
          <dgm:chPref val="7"/>
          <dgm:dir/>
        </dgm:presLayoutVars>
      </dgm:prSet>
      <dgm:spPr/>
    </dgm:pt>
    <dgm:pt modelId="{03263833-ECFB-4B66-A3A6-F94ED7E5B68D}" type="pres">
      <dgm:prSet presAssocID="{5084F485-6814-4554-9F2E-387A65226B04}" presName="Name1" presStyleCnt="0"/>
      <dgm:spPr/>
    </dgm:pt>
    <dgm:pt modelId="{3A23DD43-0DC2-42FB-B5A3-72919DFE7A22}" type="pres">
      <dgm:prSet presAssocID="{5084F485-6814-4554-9F2E-387A65226B04}" presName="cycle" presStyleCnt="0"/>
      <dgm:spPr/>
    </dgm:pt>
    <dgm:pt modelId="{9D21AAD2-DF84-448C-9A3F-1E8A658CB1E2}" type="pres">
      <dgm:prSet presAssocID="{5084F485-6814-4554-9F2E-387A65226B04}" presName="srcNode" presStyleLbl="node1" presStyleIdx="0" presStyleCnt="7"/>
      <dgm:spPr/>
    </dgm:pt>
    <dgm:pt modelId="{3EE86D76-A783-4429-822F-318F6B17CDAF}" type="pres">
      <dgm:prSet presAssocID="{5084F485-6814-4554-9F2E-387A65226B04}" presName="conn" presStyleLbl="parChTrans1D2" presStyleIdx="0" presStyleCnt="1"/>
      <dgm:spPr>
        <a:prstGeom prst="blockArc">
          <a:avLst>
            <a:gd name="adj1" fmla="val 18900000"/>
            <a:gd name="adj2" fmla="val 2700000"/>
            <a:gd name="adj3" fmla="val 582"/>
          </a:avLst>
        </a:prstGeom>
      </dgm:spPr>
    </dgm:pt>
    <dgm:pt modelId="{AB7AA01B-0451-4E6C-BF6B-2997D8F18500}" type="pres">
      <dgm:prSet presAssocID="{5084F485-6814-4554-9F2E-387A65226B04}" presName="extraNode" presStyleLbl="node1" presStyleIdx="0" presStyleCnt="7"/>
      <dgm:spPr/>
    </dgm:pt>
    <dgm:pt modelId="{A932E52D-DAA3-42BE-93AD-8D93ED08A4C6}" type="pres">
      <dgm:prSet presAssocID="{5084F485-6814-4554-9F2E-387A65226B04}" presName="dstNode" presStyleLbl="node1" presStyleIdx="0" presStyleCnt="7"/>
      <dgm:spPr/>
    </dgm:pt>
    <dgm:pt modelId="{1D1866E7-C1E0-427D-8924-0082B60551EC}" type="pres">
      <dgm:prSet presAssocID="{8E1467ED-C2CC-4B0C-92A6-331893E68FB6}" presName="text_1" presStyleLbl="node1" presStyleIdx="0" presStyleCnt="7">
        <dgm:presLayoutVars>
          <dgm:bulletEnabled val="1"/>
        </dgm:presLayoutVars>
      </dgm:prSet>
      <dgm:spPr/>
    </dgm:pt>
    <dgm:pt modelId="{AF3283ED-B299-4A9A-9FE1-02F2A41E51BE}" type="pres">
      <dgm:prSet presAssocID="{8E1467ED-C2CC-4B0C-92A6-331893E68FB6}" presName="accent_1" presStyleCnt="0"/>
      <dgm:spPr/>
    </dgm:pt>
    <dgm:pt modelId="{44B9A049-EC7C-4D4D-88A0-A543938917A0}" type="pres">
      <dgm:prSet presAssocID="{8E1467ED-C2CC-4B0C-92A6-331893E68FB6}" presName="accentRepeatNode" presStyleLbl="solidFgAcc1" presStyleIdx="0" presStyleCnt="7"/>
      <dgm:spPr>
        <a:ln>
          <a:solidFill>
            <a:srgbClr val="4AB5C4"/>
          </a:solidFill>
        </a:ln>
      </dgm:spPr>
    </dgm:pt>
    <dgm:pt modelId="{70820FA7-3537-4099-AFE6-388F150FBEC8}" type="pres">
      <dgm:prSet presAssocID="{C32D1E55-3F4A-448B-B57A-9D1A450966D1}" presName="text_2" presStyleLbl="node1" presStyleIdx="1" presStyleCnt="7">
        <dgm:presLayoutVars>
          <dgm:bulletEnabled val="1"/>
        </dgm:presLayoutVars>
      </dgm:prSet>
      <dgm:spPr/>
    </dgm:pt>
    <dgm:pt modelId="{16F10B44-9815-481E-BDC0-D849D711E2D2}" type="pres">
      <dgm:prSet presAssocID="{C32D1E55-3F4A-448B-B57A-9D1A450966D1}" presName="accent_2" presStyleCnt="0"/>
      <dgm:spPr/>
    </dgm:pt>
    <dgm:pt modelId="{4B17B53B-7BAB-49D2-BEBD-3F2B03DAC46B}" type="pres">
      <dgm:prSet presAssocID="{C32D1E55-3F4A-448B-B57A-9D1A450966D1}" presName="accentRepeatNode" presStyleLbl="solidFgAcc1" presStyleIdx="1" presStyleCnt="7"/>
      <dgm:spPr>
        <a:xfrm>
          <a:off x="49904" y="158731"/>
          <a:ext cx="529471" cy="529471"/>
        </a:xfrm>
        <a:prstGeom prst="ellipse">
          <a:avLst/>
        </a:prstGeom>
        <a:solidFill>
          <a:srgbClr val="FFFFFF">
            <a:hueOff val="0"/>
            <a:satOff val="0"/>
            <a:lumOff val="0"/>
            <a:alphaOff val="0"/>
          </a:srgbClr>
        </a:solidFill>
        <a:ln w="12700" cap="flat" cmpd="sng" algn="ctr">
          <a:solidFill>
            <a:srgbClr val="029676"/>
          </a:solidFill>
          <a:prstDash val="solid"/>
          <a:miter lim="800000"/>
        </a:ln>
        <a:effectLst/>
      </dgm:spPr>
    </dgm:pt>
    <dgm:pt modelId="{EA9C785E-E0E2-48D4-903B-FB8D217A9974}" type="pres">
      <dgm:prSet presAssocID="{784FFA8C-304C-4375-81D0-82E352F4837A}" presName="text_3" presStyleLbl="node1" presStyleIdx="2" presStyleCnt="7">
        <dgm:presLayoutVars>
          <dgm:bulletEnabled val="1"/>
        </dgm:presLayoutVars>
      </dgm:prSet>
      <dgm:spPr/>
    </dgm:pt>
    <dgm:pt modelId="{0BE8400E-F3D0-4562-A826-C3EB4A29A522}" type="pres">
      <dgm:prSet presAssocID="{784FFA8C-304C-4375-81D0-82E352F4837A}" presName="accent_3" presStyleCnt="0"/>
      <dgm:spPr/>
    </dgm:pt>
    <dgm:pt modelId="{CBEFBC24-B322-4563-8975-C3FFD5F89604}" type="pres">
      <dgm:prSet presAssocID="{784FFA8C-304C-4375-81D0-82E352F4837A}" presName="accentRepeatNode" presStyleLbl="solidFgAcc1" presStyleIdx="2" presStyleCnt="7"/>
      <dgm:spPr>
        <a:xfrm>
          <a:off x="292750" y="794206"/>
          <a:ext cx="529471" cy="529471"/>
        </a:xfrm>
        <a:prstGeom prst="ellipse">
          <a:avLst/>
        </a:prstGeom>
        <a:solidFill>
          <a:srgbClr val="FFFFFF">
            <a:hueOff val="0"/>
            <a:satOff val="0"/>
            <a:lumOff val="0"/>
            <a:alphaOff val="0"/>
          </a:srgbClr>
        </a:solidFill>
        <a:ln w="12700" cap="flat" cmpd="sng" algn="ctr">
          <a:solidFill>
            <a:srgbClr val="4AB5C4"/>
          </a:solidFill>
          <a:prstDash val="solid"/>
          <a:miter lim="800000"/>
        </a:ln>
        <a:effectLst/>
      </dgm:spPr>
    </dgm:pt>
    <dgm:pt modelId="{BF2426FC-3929-4615-8084-40C81BAEDE53}" type="pres">
      <dgm:prSet presAssocID="{ACF6DB70-2B3C-4EFA-BBA0-63D266513715}" presName="text_4" presStyleLbl="node1" presStyleIdx="3" presStyleCnt="7">
        <dgm:presLayoutVars>
          <dgm:bulletEnabled val="1"/>
        </dgm:presLayoutVars>
      </dgm:prSet>
      <dgm:spPr/>
    </dgm:pt>
    <dgm:pt modelId="{D889C3A7-5DC6-4E09-ABF3-1EC19A157D2A}" type="pres">
      <dgm:prSet presAssocID="{ACF6DB70-2B3C-4EFA-BBA0-63D266513715}" presName="accent_4" presStyleCnt="0"/>
      <dgm:spPr/>
    </dgm:pt>
    <dgm:pt modelId="{55958661-9C40-473D-BEE5-B2FE98240E3A}" type="pres">
      <dgm:prSet presAssocID="{ACF6DB70-2B3C-4EFA-BBA0-63D266513715}" presName="accentRepeatNode" presStyleLbl="solidFgAcc1" presStyleIdx="3" presStyleCnt="7"/>
      <dgm:spPr>
        <a:xfrm>
          <a:off x="292750" y="1429682"/>
          <a:ext cx="529471" cy="529471"/>
        </a:xfrm>
        <a:prstGeom prst="ellipse">
          <a:avLst/>
        </a:prstGeom>
        <a:solidFill>
          <a:srgbClr val="FFFFFF">
            <a:hueOff val="0"/>
            <a:satOff val="0"/>
            <a:lumOff val="0"/>
            <a:alphaOff val="0"/>
          </a:srgbClr>
        </a:solidFill>
        <a:ln w="12700" cap="flat" cmpd="sng" algn="ctr">
          <a:solidFill>
            <a:srgbClr val="27BEC0"/>
          </a:solidFill>
          <a:prstDash val="solid"/>
          <a:miter lim="800000"/>
        </a:ln>
        <a:effectLst/>
      </dgm:spPr>
    </dgm:pt>
    <dgm:pt modelId="{E7EB9CCD-9C18-4A4D-BAAC-6BE5F68B63F5}" type="pres">
      <dgm:prSet presAssocID="{8F53433B-0DAC-4129-B14C-E853AA426289}" presName="text_5" presStyleLbl="node1" presStyleIdx="4" presStyleCnt="7">
        <dgm:presLayoutVars>
          <dgm:bulletEnabled val="1"/>
        </dgm:presLayoutVars>
      </dgm:prSet>
      <dgm:spPr/>
    </dgm:pt>
    <dgm:pt modelId="{E3520F9A-534E-463B-B00C-606AEEBE96D0}" type="pres">
      <dgm:prSet presAssocID="{8F53433B-0DAC-4129-B14C-E853AA426289}" presName="accent_5" presStyleCnt="0"/>
      <dgm:spPr/>
    </dgm:pt>
    <dgm:pt modelId="{33B9A485-B386-413F-98E4-0B7AB1B74EFF}" type="pres">
      <dgm:prSet presAssocID="{8F53433B-0DAC-4129-B14C-E853AA426289}" presName="accentRepeatNode" presStyleLbl="solidFgAcc1" presStyleIdx="4" presStyleCnt="7"/>
      <dgm:spPr>
        <a:ln>
          <a:solidFill>
            <a:srgbClr val="55DADD"/>
          </a:solidFill>
        </a:ln>
      </dgm:spPr>
    </dgm:pt>
    <dgm:pt modelId="{FD4C2303-2DC2-4C91-8E32-C8C81CD05ACE}" type="pres">
      <dgm:prSet presAssocID="{368AFEEA-70A9-4D69-8F88-39E9659C3AB3}" presName="text_6" presStyleLbl="node1" presStyleIdx="5" presStyleCnt="7">
        <dgm:presLayoutVars>
          <dgm:bulletEnabled val="1"/>
        </dgm:presLayoutVars>
      </dgm:prSet>
      <dgm:spPr/>
    </dgm:pt>
    <dgm:pt modelId="{F96308E0-E30A-4F76-974D-8A18EFD63D68}" type="pres">
      <dgm:prSet presAssocID="{368AFEEA-70A9-4D69-8F88-39E9659C3AB3}" presName="accent_6" presStyleCnt="0"/>
      <dgm:spPr/>
    </dgm:pt>
    <dgm:pt modelId="{886F9764-97B0-4CF5-B936-BCCB1B7EF51A}" type="pres">
      <dgm:prSet presAssocID="{368AFEEA-70A9-4D69-8F88-39E9659C3AB3}" presName="accentRepeatNode" presStyleLbl="solidFgAcc1" presStyleIdx="5" presStyleCnt="7"/>
      <dgm:spPr>
        <a:xfrm>
          <a:off x="49904" y="2065157"/>
          <a:ext cx="529471" cy="529471"/>
        </a:xfrm>
        <a:prstGeom prst="ellipse">
          <a:avLst/>
        </a:prstGeom>
        <a:solidFill>
          <a:srgbClr val="FFFFFF">
            <a:hueOff val="0"/>
            <a:satOff val="0"/>
            <a:lumOff val="0"/>
            <a:alphaOff val="0"/>
          </a:srgbClr>
        </a:solidFill>
        <a:ln w="12700" cap="flat" cmpd="sng" algn="ctr">
          <a:solidFill>
            <a:srgbClr val="4AB5C4"/>
          </a:solidFill>
          <a:prstDash val="solid"/>
          <a:miter lim="800000"/>
        </a:ln>
        <a:effectLst/>
      </dgm:spPr>
    </dgm:pt>
    <dgm:pt modelId="{0F64EC14-2123-4B90-89A8-0161FF6A48EA}" type="pres">
      <dgm:prSet presAssocID="{6DAFD63E-50BB-4F9B-9FED-6274046F8942}" presName="text_7" presStyleLbl="node1" presStyleIdx="6" presStyleCnt="7">
        <dgm:presLayoutVars>
          <dgm:bulletEnabled val="1"/>
        </dgm:presLayoutVars>
      </dgm:prSet>
      <dgm:spPr/>
    </dgm:pt>
    <dgm:pt modelId="{2015F31E-D994-43AE-8AEC-B55F765B24E8}" type="pres">
      <dgm:prSet presAssocID="{6DAFD63E-50BB-4F9B-9FED-6274046F8942}" presName="accent_7" presStyleCnt="0"/>
      <dgm:spPr/>
    </dgm:pt>
    <dgm:pt modelId="{FC95C309-E1F7-4DA1-ACDA-C953E91F90DD}" type="pres">
      <dgm:prSet presAssocID="{6DAFD63E-50BB-4F9B-9FED-6274046F8942}" presName="accentRepeatNode" presStyleLbl="solidFgAcc1" presStyleIdx="6" presStyleCnt="7"/>
      <dgm:spPr>
        <a:ln>
          <a:solidFill>
            <a:srgbClr val="C9E9ED"/>
          </a:solidFill>
        </a:ln>
      </dgm:spPr>
    </dgm:pt>
  </dgm:ptLst>
  <dgm:cxnLst>
    <dgm:cxn modelId="{31EC9F1F-14ED-4A57-B77B-1DAD4DF1EE48}" srcId="{5084F485-6814-4554-9F2E-387A65226B04}" destId="{368AFEEA-70A9-4D69-8F88-39E9659C3AB3}" srcOrd="5" destOrd="0" parTransId="{04B6A6DD-B1F5-4248-8FA5-12478F520D8B}" sibTransId="{9B50E6A5-2F4F-411A-B3BE-16F63B9D1734}"/>
    <dgm:cxn modelId="{588F3326-A1D0-4F38-BD18-9176980C2297}" srcId="{5084F485-6814-4554-9F2E-387A65226B04}" destId="{8F53433B-0DAC-4129-B14C-E853AA426289}" srcOrd="4" destOrd="0" parTransId="{0A6FB1AD-4800-4AC2-8007-36FBC8C175F6}" sibTransId="{BFBBE34D-A3DF-4E0B-B96B-D81002717424}"/>
    <dgm:cxn modelId="{537D8230-F997-4AC3-B1E2-F9998C4552AD}" type="presOf" srcId="{C32D1E55-3F4A-448B-B57A-9D1A450966D1}" destId="{70820FA7-3537-4099-AFE6-388F150FBEC8}" srcOrd="0" destOrd="0" presId="urn:microsoft.com/office/officeart/2008/layout/VerticalCurvedList"/>
    <dgm:cxn modelId="{1B6BE349-4EB2-43D1-B44F-1F4998B5EDA5}" srcId="{5084F485-6814-4554-9F2E-387A65226B04}" destId="{784FFA8C-304C-4375-81D0-82E352F4837A}" srcOrd="2" destOrd="0" parTransId="{57BB1181-6E30-40D1-8BBE-A9E78C4D185D}" sibTransId="{FE356E22-F8EB-49CD-B201-E89F3C44A46C}"/>
    <dgm:cxn modelId="{D7025B53-DA61-4626-9B9D-D598D26CAF02}" type="presOf" srcId="{8F53433B-0DAC-4129-B14C-E853AA426289}" destId="{E7EB9CCD-9C18-4A4D-BAAC-6BE5F68B63F5}" srcOrd="0" destOrd="0" presId="urn:microsoft.com/office/officeart/2008/layout/VerticalCurvedList"/>
    <dgm:cxn modelId="{91334F6A-8735-446A-A09E-4FC254D451E2}" type="presOf" srcId="{784FFA8C-304C-4375-81D0-82E352F4837A}" destId="{EA9C785E-E0E2-48D4-903B-FB8D217A9974}" srcOrd="0" destOrd="0" presId="urn:microsoft.com/office/officeart/2008/layout/VerticalCurvedList"/>
    <dgm:cxn modelId="{81855973-FF8B-45A3-823D-0FD7BDE2DF6E}" type="presOf" srcId="{ACF6DB70-2B3C-4EFA-BBA0-63D266513715}" destId="{BF2426FC-3929-4615-8084-40C81BAEDE53}" srcOrd="0" destOrd="0" presId="urn:microsoft.com/office/officeart/2008/layout/VerticalCurvedList"/>
    <dgm:cxn modelId="{17B9FB76-9F4A-4655-82B2-04B1ADB201DA}" srcId="{5084F485-6814-4554-9F2E-387A65226B04}" destId="{ACF6DB70-2B3C-4EFA-BBA0-63D266513715}" srcOrd="3" destOrd="0" parTransId="{0E5A8023-F8B1-42C7-B1DE-623C63924D88}" sibTransId="{B93F1396-F3D8-437E-88E2-C3F030B36ADC}"/>
    <dgm:cxn modelId="{6709CD86-5313-47CC-BD4A-06AA2ED3B251}" type="presOf" srcId="{5084F485-6814-4554-9F2E-387A65226B04}" destId="{79535B5C-EB5D-45DF-BF10-9F7060C54DC7}" srcOrd="0" destOrd="0" presId="urn:microsoft.com/office/officeart/2008/layout/VerticalCurvedList"/>
    <dgm:cxn modelId="{9015B793-6920-4FD7-99C1-3BCC77B9BEBB}" type="presOf" srcId="{8E1467ED-C2CC-4B0C-92A6-331893E68FB6}" destId="{1D1866E7-C1E0-427D-8924-0082B60551EC}" srcOrd="0" destOrd="0" presId="urn:microsoft.com/office/officeart/2008/layout/VerticalCurvedList"/>
    <dgm:cxn modelId="{6C9C139E-5388-4341-A629-B047E723E0E0}" type="presOf" srcId="{368AFEEA-70A9-4D69-8F88-39E9659C3AB3}" destId="{FD4C2303-2DC2-4C91-8E32-C8C81CD05ACE}" srcOrd="0" destOrd="0" presId="urn:microsoft.com/office/officeart/2008/layout/VerticalCurvedList"/>
    <dgm:cxn modelId="{2C3157B5-32EE-44F2-8EB1-4CD8F429A9B4}" srcId="{5084F485-6814-4554-9F2E-387A65226B04}" destId="{8E1467ED-C2CC-4B0C-92A6-331893E68FB6}" srcOrd="0" destOrd="0" parTransId="{477FEA93-5809-43FB-BC2A-A7E7C0F6C2B0}" sibTransId="{4D0280B0-D9D3-4E29-9DBC-7A1EE5B7B09E}"/>
    <dgm:cxn modelId="{C273B1C5-CFBB-48CF-90E2-AE0C6D6C7743}" srcId="{5084F485-6814-4554-9F2E-387A65226B04}" destId="{C32D1E55-3F4A-448B-B57A-9D1A450966D1}" srcOrd="1" destOrd="0" parTransId="{7A7F83F1-245B-4BEA-94C8-9DBFC706A2FB}" sibTransId="{B2EDC6A7-414E-4F7D-BCBB-0ABBC57BDB6F}"/>
    <dgm:cxn modelId="{3B2BB2C7-D354-4432-9A0E-A23BAEE3124D}" srcId="{5084F485-6814-4554-9F2E-387A65226B04}" destId="{6DAFD63E-50BB-4F9B-9FED-6274046F8942}" srcOrd="6" destOrd="0" parTransId="{28C1364C-34AA-4A3B-9424-B8308ECC8DF9}" sibTransId="{6B91B121-A7DC-475F-9A71-4E4294E796E1}"/>
    <dgm:cxn modelId="{D9EBABF5-C30B-4274-9F28-1ED1424A160C}" type="presOf" srcId="{4D0280B0-D9D3-4E29-9DBC-7A1EE5B7B09E}" destId="{3EE86D76-A783-4429-822F-318F6B17CDAF}" srcOrd="0" destOrd="0" presId="urn:microsoft.com/office/officeart/2008/layout/VerticalCurvedList"/>
    <dgm:cxn modelId="{35404EFA-985D-491F-84B3-A616E62C8A67}" type="presOf" srcId="{6DAFD63E-50BB-4F9B-9FED-6274046F8942}" destId="{0F64EC14-2123-4B90-89A8-0161FF6A48EA}" srcOrd="0" destOrd="0" presId="urn:microsoft.com/office/officeart/2008/layout/VerticalCurvedList"/>
    <dgm:cxn modelId="{7F179BE0-7C27-4BF3-930B-F05B1D283835}" type="presParOf" srcId="{79535B5C-EB5D-45DF-BF10-9F7060C54DC7}" destId="{03263833-ECFB-4B66-A3A6-F94ED7E5B68D}" srcOrd="0" destOrd="0" presId="urn:microsoft.com/office/officeart/2008/layout/VerticalCurvedList"/>
    <dgm:cxn modelId="{7920C244-9E86-4F46-B50C-5310C18A7B21}" type="presParOf" srcId="{03263833-ECFB-4B66-A3A6-F94ED7E5B68D}" destId="{3A23DD43-0DC2-42FB-B5A3-72919DFE7A22}" srcOrd="0" destOrd="0" presId="urn:microsoft.com/office/officeart/2008/layout/VerticalCurvedList"/>
    <dgm:cxn modelId="{3D489CA8-4B79-409E-9F7A-7CEBDB44BF2C}" type="presParOf" srcId="{3A23DD43-0DC2-42FB-B5A3-72919DFE7A22}" destId="{9D21AAD2-DF84-448C-9A3F-1E8A658CB1E2}" srcOrd="0" destOrd="0" presId="urn:microsoft.com/office/officeart/2008/layout/VerticalCurvedList"/>
    <dgm:cxn modelId="{ECAA6187-289A-4B4D-8FFB-A0951E9AE800}" type="presParOf" srcId="{3A23DD43-0DC2-42FB-B5A3-72919DFE7A22}" destId="{3EE86D76-A783-4429-822F-318F6B17CDAF}" srcOrd="1" destOrd="0" presId="urn:microsoft.com/office/officeart/2008/layout/VerticalCurvedList"/>
    <dgm:cxn modelId="{00F48B46-B3C6-4020-B2AA-C695875B6A5C}" type="presParOf" srcId="{3A23DD43-0DC2-42FB-B5A3-72919DFE7A22}" destId="{AB7AA01B-0451-4E6C-BF6B-2997D8F18500}" srcOrd="2" destOrd="0" presId="urn:microsoft.com/office/officeart/2008/layout/VerticalCurvedList"/>
    <dgm:cxn modelId="{94751D4C-DB43-4655-96E0-0CE2A814BEA3}" type="presParOf" srcId="{3A23DD43-0DC2-42FB-B5A3-72919DFE7A22}" destId="{A932E52D-DAA3-42BE-93AD-8D93ED08A4C6}" srcOrd="3" destOrd="0" presId="urn:microsoft.com/office/officeart/2008/layout/VerticalCurvedList"/>
    <dgm:cxn modelId="{23AC8098-F614-4C26-8448-18B4B4C4A165}" type="presParOf" srcId="{03263833-ECFB-4B66-A3A6-F94ED7E5B68D}" destId="{1D1866E7-C1E0-427D-8924-0082B60551EC}" srcOrd="1" destOrd="0" presId="urn:microsoft.com/office/officeart/2008/layout/VerticalCurvedList"/>
    <dgm:cxn modelId="{E89976BF-3E01-4523-ABDE-7DB4CAC17B1C}" type="presParOf" srcId="{03263833-ECFB-4B66-A3A6-F94ED7E5B68D}" destId="{AF3283ED-B299-4A9A-9FE1-02F2A41E51BE}" srcOrd="2" destOrd="0" presId="urn:microsoft.com/office/officeart/2008/layout/VerticalCurvedList"/>
    <dgm:cxn modelId="{9A819271-D9D4-4BED-9102-43D8470AF53A}" type="presParOf" srcId="{AF3283ED-B299-4A9A-9FE1-02F2A41E51BE}" destId="{44B9A049-EC7C-4D4D-88A0-A543938917A0}" srcOrd="0" destOrd="0" presId="urn:microsoft.com/office/officeart/2008/layout/VerticalCurvedList"/>
    <dgm:cxn modelId="{C452474E-1DF8-4CA7-9531-8D671EDE0037}" type="presParOf" srcId="{03263833-ECFB-4B66-A3A6-F94ED7E5B68D}" destId="{70820FA7-3537-4099-AFE6-388F150FBEC8}" srcOrd="3" destOrd="0" presId="urn:microsoft.com/office/officeart/2008/layout/VerticalCurvedList"/>
    <dgm:cxn modelId="{2CC6D605-3CDD-457C-AD1E-93159C4FC2F7}" type="presParOf" srcId="{03263833-ECFB-4B66-A3A6-F94ED7E5B68D}" destId="{16F10B44-9815-481E-BDC0-D849D711E2D2}" srcOrd="4" destOrd="0" presId="urn:microsoft.com/office/officeart/2008/layout/VerticalCurvedList"/>
    <dgm:cxn modelId="{D15EF245-108F-4FDC-AE02-EE4376617D19}" type="presParOf" srcId="{16F10B44-9815-481E-BDC0-D849D711E2D2}" destId="{4B17B53B-7BAB-49D2-BEBD-3F2B03DAC46B}" srcOrd="0" destOrd="0" presId="urn:microsoft.com/office/officeart/2008/layout/VerticalCurvedList"/>
    <dgm:cxn modelId="{E2D98F51-7753-467D-8412-2A791967EF51}" type="presParOf" srcId="{03263833-ECFB-4B66-A3A6-F94ED7E5B68D}" destId="{EA9C785E-E0E2-48D4-903B-FB8D217A9974}" srcOrd="5" destOrd="0" presId="urn:microsoft.com/office/officeart/2008/layout/VerticalCurvedList"/>
    <dgm:cxn modelId="{3C5766AC-1F1A-45E7-82D1-29B7ADAA265A}" type="presParOf" srcId="{03263833-ECFB-4B66-A3A6-F94ED7E5B68D}" destId="{0BE8400E-F3D0-4562-A826-C3EB4A29A522}" srcOrd="6" destOrd="0" presId="urn:microsoft.com/office/officeart/2008/layout/VerticalCurvedList"/>
    <dgm:cxn modelId="{E96DD0B4-36A1-4DE1-8120-DC727E8CB9CD}" type="presParOf" srcId="{0BE8400E-F3D0-4562-A826-C3EB4A29A522}" destId="{CBEFBC24-B322-4563-8975-C3FFD5F89604}" srcOrd="0" destOrd="0" presId="urn:microsoft.com/office/officeart/2008/layout/VerticalCurvedList"/>
    <dgm:cxn modelId="{0F6DA219-12F1-4678-9F7B-509D18B2369C}" type="presParOf" srcId="{03263833-ECFB-4B66-A3A6-F94ED7E5B68D}" destId="{BF2426FC-3929-4615-8084-40C81BAEDE53}" srcOrd="7" destOrd="0" presId="urn:microsoft.com/office/officeart/2008/layout/VerticalCurvedList"/>
    <dgm:cxn modelId="{810C8A62-E616-4477-96BA-8D95D1E57AF5}" type="presParOf" srcId="{03263833-ECFB-4B66-A3A6-F94ED7E5B68D}" destId="{D889C3A7-5DC6-4E09-ABF3-1EC19A157D2A}" srcOrd="8" destOrd="0" presId="urn:microsoft.com/office/officeart/2008/layout/VerticalCurvedList"/>
    <dgm:cxn modelId="{30B33864-8F15-4380-9357-F4ED98DEF18F}" type="presParOf" srcId="{D889C3A7-5DC6-4E09-ABF3-1EC19A157D2A}" destId="{55958661-9C40-473D-BEE5-B2FE98240E3A}" srcOrd="0" destOrd="0" presId="urn:microsoft.com/office/officeart/2008/layout/VerticalCurvedList"/>
    <dgm:cxn modelId="{2EA9E6F6-06DE-4509-8064-5CD2DF64F34C}" type="presParOf" srcId="{03263833-ECFB-4B66-A3A6-F94ED7E5B68D}" destId="{E7EB9CCD-9C18-4A4D-BAAC-6BE5F68B63F5}" srcOrd="9" destOrd="0" presId="urn:microsoft.com/office/officeart/2008/layout/VerticalCurvedList"/>
    <dgm:cxn modelId="{B380552A-5B1F-4ED4-8552-5300DC47F743}" type="presParOf" srcId="{03263833-ECFB-4B66-A3A6-F94ED7E5B68D}" destId="{E3520F9A-534E-463B-B00C-606AEEBE96D0}" srcOrd="10" destOrd="0" presId="urn:microsoft.com/office/officeart/2008/layout/VerticalCurvedList"/>
    <dgm:cxn modelId="{0E7B582F-884A-48F7-8CE7-785464ACFF0F}" type="presParOf" srcId="{E3520F9A-534E-463B-B00C-606AEEBE96D0}" destId="{33B9A485-B386-413F-98E4-0B7AB1B74EFF}" srcOrd="0" destOrd="0" presId="urn:microsoft.com/office/officeart/2008/layout/VerticalCurvedList"/>
    <dgm:cxn modelId="{D9402945-3C42-46F8-84B7-70C05AB5D67E}" type="presParOf" srcId="{03263833-ECFB-4B66-A3A6-F94ED7E5B68D}" destId="{FD4C2303-2DC2-4C91-8E32-C8C81CD05ACE}" srcOrd="11" destOrd="0" presId="urn:microsoft.com/office/officeart/2008/layout/VerticalCurvedList"/>
    <dgm:cxn modelId="{A73816F3-EE70-45D1-BA35-815B6734662C}" type="presParOf" srcId="{03263833-ECFB-4B66-A3A6-F94ED7E5B68D}" destId="{F96308E0-E30A-4F76-974D-8A18EFD63D68}" srcOrd="12" destOrd="0" presId="urn:microsoft.com/office/officeart/2008/layout/VerticalCurvedList"/>
    <dgm:cxn modelId="{C2898BBD-EE22-4DDE-8AC3-708704204F31}" type="presParOf" srcId="{F96308E0-E30A-4F76-974D-8A18EFD63D68}" destId="{886F9764-97B0-4CF5-B936-BCCB1B7EF51A}" srcOrd="0" destOrd="0" presId="urn:microsoft.com/office/officeart/2008/layout/VerticalCurvedList"/>
    <dgm:cxn modelId="{4F6801E4-C0BE-49A1-967F-276621D53E16}" type="presParOf" srcId="{03263833-ECFB-4B66-A3A6-F94ED7E5B68D}" destId="{0F64EC14-2123-4B90-89A8-0161FF6A48EA}" srcOrd="13" destOrd="0" presId="urn:microsoft.com/office/officeart/2008/layout/VerticalCurvedList"/>
    <dgm:cxn modelId="{71551AA9-088F-48DD-A1F5-33E4DB3BA01E}" type="presParOf" srcId="{03263833-ECFB-4B66-A3A6-F94ED7E5B68D}" destId="{2015F31E-D994-43AE-8AEC-B55F765B24E8}" srcOrd="14" destOrd="0" presId="urn:microsoft.com/office/officeart/2008/layout/VerticalCurvedList"/>
    <dgm:cxn modelId="{59483F22-90F5-45A8-8C93-B738CBD76894}" type="presParOf" srcId="{2015F31E-D994-43AE-8AEC-B55F765B24E8}" destId="{FC95C309-E1F7-4DA1-ACDA-C953E91F90DD}" srcOrd="0" destOrd="0" presId="urn:microsoft.com/office/officeart/2008/layout/VerticalCurvedList"/>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E86D76-A783-4429-822F-318F6B17CDAF}">
      <dsp:nvSpPr>
        <dsp:cNvPr id="0" name=""/>
        <dsp:cNvSpPr/>
      </dsp:nvSpPr>
      <dsp:spPr>
        <a:xfrm>
          <a:off x="-3661098" y="-562531"/>
          <a:ext cx="4364197" cy="4364197"/>
        </a:xfrm>
        <a:prstGeom prst="blockArc">
          <a:avLst>
            <a:gd name="adj1" fmla="val 18900000"/>
            <a:gd name="adj2" fmla="val 2700000"/>
            <a:gd name="adj3" fmla="val 582"/>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1866E7-C1E0-427D-8924-0082B60551EC}">
      <dsp:nvSpPr>
        <dsp:cNvPr id="0" name=""/>
        <dsp:cNvSpPr/>
      </dsp:nvSpPr>
      <dsp:spPr>
        <a:xfrm>
          <a:off x="228309" y="147251"/>
          <a:ext cx="4515540" cy="294372"/>
        </a:xfrm>
        <a:prstGeom prst="rect">
          <a:avLst/>
        </a:prstGeom>
        <a:solidFill>
          <a:srgbClr val="4AB5C4"/>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658" tIns="40640" rIns="40640" bIns="4064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solidFill>
              <a:latin typeface="Arial" panose="020B0604020202020204"/>
              <a:ea typeface="+mn-ea"/>
              <a:cs typeface="+mn-cs"/>
            </a:rPr>
            <a:t>Quality and Academic Development</a:t>
          </a:r>
        </a:p>
      </dsp:txBody>
      <dsp:txXfrm>
        <a:off x="228309" y="147251"/>
        <a:ext cx="4515540" cy="294372"/>
      </dsp:txXfrm>
    </dsp:sp>
    <dsp:sp modelId="{44B9A049-EC7C-4D4D-88A0-A543938917A0}">
      <dsp:nvSpPr>
        <dsp:cNvPr id="0" name=""/>
        <dsp:cNvSpPr/>
      </dsp:nvSpPr>
      <dsp:spPr>
        <a:xfrm>
          <a:off x="44326" y="110454"/>
          <a:ext cx="367965" cy="367965"/>
        </a:xfrm>
        <a:prstGeom prst="ellipse">
          <a:avLst/>
        </a:prstGeom>
        <a:solidFill>
          <a:schemeClr val="lt1">
            <a:hueOff val="0"/>
            <a:satOff val="0"/>
            <a:lumOff val="0"/>
            <a:alphaOff val="0"/>
          </a:schemeClr>
        </a:solidFill>
        <a:ln w="12700" cap="flat" cmpd="sng" algn="ctr">
          <a:solidFill>
            <a:srgbClr val="4AB5C4"/>
          </a:solidFill>
          <a:prstDash val="solid"/>
          <a:miter lim="800000"/>
        </a:ln>
        <a:effectLst/>
      </dsp:spPr>
      <dsp:style>
        <a:lnRef idx="2">
          <a:scrgbClr r="0" g="0" b="0"/>
        </a:lnRef>
        <a:fillRef idx="1">
          <a:scrgbClr r="0" g="0" b="0"/>
        </a:fillRef>
        <a:effectRef idx="0">
          <a:scrgbClr r="0" g="0" b="0"/>
        </a:effectRef>
        <a:fontRef idx="minor"/>
      </dsp:style>
    </dsp:sp>
    <dsp:sp modelId="{70820FA7-3537-4099-AFE6-388F150FBEC8}">
      <dsp:nvSpPr>
        <dsp:cNvPr id="0" name=""/>
        <dsp:cNvSpPr/>
      </dsp:nvSpPr>
      <dsp:spPr>
        <a:xfrm>
          <a:off x="494889" y="589069"/>
          <a:ext cx="4248959" cy="294372"/>
        </a:xfrm>
        <a:prstGeom prst="rect">
          <a:avLst/>
        </a:prstGeom>
        <a:solidFill>
          <a:srgbClr val="4AB5C4"/>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658" tIns="40640" rIns="40640" bIns="4064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solidFill>
              <a:latin typeface="Arial" panose="020B0604020202020204"/>
              <a:ea typeface="+mn-ea"/>
              <a:cs typeface="+mn-cs"/>
            </a:rPr>
            <a:t>Central Timetabling and Room Bookings</a:t>
          </a:r>
          <a:endParaRPr lang="en-US" sz="1600" kern="1200">
            <a:solidFill>
              <a:schemeClr val="bg1"/>
            </a:solidFill>
            <a:latin typeface="Arial" panose="020B0604020202020204"/>
            <a:ea typeface="+mn-ea"/>
            <a:cs typeface="+mn-cs"/>
          </a:endParaRPr>
        </a:p>
      </dsp:txBody>
      <dsp:txXfrm>
        <a:off x="494889" y="589069"/>
        <a:ext cx="4248959" cy="294372"/>
      </dsp:txXfrm>
    </dsp:sp>
    <dsp:sp modelId="{4B17B53B-7BAB-49D2-BEBD-3F2B03DAC46B}">
      <dsp:nvSpPr>
        <dsp:cNvPr id="0" name=""/>
        <dsp:cNvSpPr/>
      </dsp:nvSpPr>
      <dsp:spPr>
        <a:xfrm>
          <a:off x="310907" y="552272"/>
          <a:ext cx="367965" cy="367965"/>
        </a:xfrm>
        <a:prstGeom prst="ellipse">
          <a:avLst/>
        </a:prstGeom>
        <a:solidFill>
          <a:srgbClr val="FFFFFF">
            <a:hueOff val="0"/>
            <a:satOff val="0"/>
            <a:lumOff val="0"/>
            <a:alphaOff val="0"/>
          </a:srgbClr>
        </a:solidFill>
        <a:ln w="12700" cap="flat" cmpd="sng" algn="ctr">
          <a:solidFill>
            <a:srgbClr val="029676"/>
          </a:solidFill>
          <a:prstDash val="solid"/>
          <a:miter lim="800000"/>
        </a:ln>
        <a:effectLst/>
      </dsp:spPr>
      <dsp:style>
        <a:lnRef idx="2">
          <a:scrgbClr r="0" g="0" b="0"/>
        </a:lnRef>
        <a:fillRef idx="1">
          <a:scrgbClr r="0" g="0" b="0"/>
        </a:fillRef>
        <a:effectRef idx="0">
          <a:scrgbClr r="0" g="0" b="0"/>
        </a:effectRef>
        <a:fontRef idx="minor"/>
      </dsp:style>
    </dsp:sp>
    <dsp:sp modelId="{EA9C785E-E0E2-48D4-903B-FB8D217A9974}">
      <dsp:nvSpPr>
        <dsp:cNvPr id="0" name=""/>
        <dsp:cNvSpPr/>
      </dsp:nvSpPr>
      <dsp:spPr>
        <a:xfrm>
          <a:off x="640974" y="1030563"/>
          <a:ext cx="4102874" cy="294372"/>
        </a:xfrm>
        <a:prstGeom prst="rect">
          <a:avLst/>
        </a:prstGeom>
        <a:solidFill>
          <a:srgbClr val="11AE9E"/>
        </a:solidFill>
        <a:ln w="12700" cap="flat" cmpd="sng" algn="ctr">
          <a:solidFill>
            <a:srgbClr val="11AE9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658"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a:solidFill>
                <a:sysClr val="windowText" lastClr="000000"/>
              </a:solidFill>
              <a:latin typeface="Arial" panose="020B0604020202020204"/>
              <a:ea typeface="+mn-ea"/>
              <a:cs typeface="+mn-cs"/>
            </a:rPr>
            <a:t>Immigration and visa requirements</a:t>
          </a:r>
          <a:endParaRPr lang="en-US" sz="1600" kern="1200">
            <a:solidFill>
              <a:schemeClr val="bg1"/>
            </a:solidFill>
            <a:latin typeface="Arial" panose="020B0604020202020204"/>
            <a:ea typeface="+mn-ea"/>
            <a:cs typeface="+mn-cs"/>
          </a:endParaRPr>
        </a:p>
      </dsp:txBody>
      <dsp:txXfrm>
        <a:off x="640974" y="1030563"/>
        <a:ext cx="4102874" cy="294372"/>
      </dsp:txXfrm>
    </dsp:sp>
    <dsp:sp modelId="{CBEFBC24-B322-4563-8975-C3FFD5F89604}">
      <dsp:nvSpPr>
        <dsp:cNvPr id="0" name=""/>
        <dsp:cNvSpPr/>
      </dsp:nvSpPr>
      <dsp:spPr>
        <a:xfrm>
          <a:off x="456992" y="993766"/>
          <a:ext cx="367965" cy="367965"/>
        </a:xfrm>
        <a:prstGeom prst="ellipse">
          <a:avLst/>
        </a:prstGeom>
        <a:solidFill>
          <a:srgbClr val="FFFFFF">
            <a:hueOff val="0"/>
            <a:satOff val="0"/>
            <a:lumOff val="0"/>
            <a:alphaOff val="0"/>
          </a:srgbClr>
        </a:solidFill>
        <a:ln w="12700" cap="flat" cmpd="sng" algn="ctr">
          <a:solidFill>
            <a:srgbClr val="4AB5C4"/>
          </a:solidFill>
          <a:prstDash val="solid"/>
          <a:miter lim="800000"/>
        </a:ln>
        <a:effectLst/>
      </dsp:spPr>
      <dsp:style>
        <a:lnRef idx="2">
          <a:scrgbClr r="0" g="0" b="0"/>
        </a:lnRef>
        <a:fillRef idx="1">
          <a:scrgbClr r="0" g="0" b="0"/>
        </a:fillRef>
        <a:effectRef idx="0">
          <a:scrgbClr r="0" g="0" b="0"/>
        </a:effectRef>
        <a:fontRef idx="minor"/>
      </dsp:style>
    </dsp:sp>
    <dsp:sp modelId="{BF2426FC-3929-4615-8084-40C81BAEDE53}">
      <dsp:nvSpPr>
        <dsp:cNvPr id="0" name=""/>
        <dsp:cNvSpPr/>
      </dsp:nvSpPr>
      <dsp:spPr>
        <a:xfrm>
          <a:off x="687618" y="1472381"/>
          <a:ext cx="4056230" cy="294372"/>
        </a:xfrm>
        <a:prstGeom prst="rect">
          <a:avLst/>
        </a:prstGeom>
        <a:solidFill>
          <a:srgbClr val="27BEC0"/>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658"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a:solidFill>
                <a:sysClr val="windowText" lastClr="000000"/>
              </a:solidFill>
              <a:latin typeface="Arial" panose="020B0604020202020204"/>
              <a:ea typeface="+mn-ea"/>
              <a:cs typeface="+mn-cs"/>
            </a:rPr>
            <a:t>Technology-Enhanced Learning</a:t>
          </a:r>
          <a:endParaRPr lang="en-US" sz="1600" kern="1200">
            <a:solidFill>
              <a:sysClr val="windowText" lastClr="000000"/>
            </a:solidFill>
            <a:latin typeface="Arial" panose="020B0604020202020204"/>
            <a:ea typeface="+mn-ea"/>
            <a:cs typeface="+mn-cs"/>
          </a:endParaRPr>
        </a:p>
      </dsp:txBody>
      <dsp:txXfrm>
        <a:off x="687618" y="1472381"/>
        <a:ext cx="4056230" cy="294372"/>
      </dsp:txXfrm>
    </dsp:sp>
    <dsp:sp modelId="{55958661-9C40-473D-BEE5-B2FE98240E3A}">
      <dsp:nvSpPr>
        <dsp:cNvPr id="0" name=""/>
        <dsp:cNvSpPr/>
      </dsp:nvSpPr>
      <dsp:spPr>
        <a:xfrm>
          <a:off x="503635" y="1435584"/>
          <a:ext cx="367965" cy="367965"/>
        </a:xfrm>
        <a:prstGeom prst="ellipse">
          <a:avLst/>
        </a:prstGeom>
        <a:solidFill>
          <a:srgbClr val="FFFFFF">
            <a:hueOff val="0"/>
            <a:satOff val="0"/>
            <a:lumOff val="0"/>
            <a:alphaOff val="0"/>
          </a:srgbClr>
        </a:solidFill>
        <a:ln w="12700" cap="flat" cmpd="sng" algn="ctr">
          <a:solidFill>
            <a:srgbClr val="27BEC0"/>
          </a:solidFill>
          <a:prstDash val="solid"/>
          <a:miter lim="800000"/>
        </a:ln>
        <a:effectLst/>
      </dsp:spPr>
      <dsp:style>
        <a:lnRef idx="2">
          <a:scrgbClr r="0" g="0" b="0"/>
        </a:lnRef>
        <a:fillRef idx="1">
          <a:scrgbClr r="0" g="0" b="0"/>
        </a:fillRef>
        <a:effectRef idx="0">
          <a:scrgbClr r="0" g="0" b="0"/>
        </a:effectRef>
        <a:fontRef idx="minor"/>
      </dsp:style>
    </dsp:sp>
    <dsp:sp modelId="{E7EB9CCD-9C18-4A4D-BAAC-6BE5F68B63F5}">
      <dsp:nvSpPr>
        <dsp:cNvPr id="0" name=""/>
        <dsp:cNvSpPr/>
      </dsp:nvSpPr>
      <dsp:spPr>
        <a:xfrm>
          <a:off x="640974" y="1914199"/>
          <a:ext cx="4102874" cy="294372"/>
        </a:xfrm>
        <a:prstGeom prst="rect">
          <a:avLst/>
        </a:prstGeom>
        <a:solidFill>
          <a:srgbClr val="4AB5C4"/>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658" tIns="40640" rIns="40640" bIns="4064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solidFill>
              <a:latin typeface="Arial" panose="020B0604020202020204"/>
              <a:ea typeface="+mn-ea"/>
              <a:cs typeface="+mn-cs"/>
            </a:rPr>
            <a:t>Apprenticeships</a:t>
          </a:r>
        </a:p>
      </dsp:txBody>
      <dsp:txXfrm>
        <a:off x="640974" y="1914199"/>
        <a:ext cx="4102874" cy="294372"/>
      </dsp:txXfrm>
    </dsp:sp>
    <dsp:sp modelId="{33B9A485-B386-413F-98E4-0B7AB1B74EFF}">
      <dsp:nvSpPr>
        <dsp:cNvPr id="0" name=""/>
        <dsp:cNvSpPr/>
      </dsp:nvSpPr>
      <dsp:spPr>
        <a:xfrm>
          <a:off x="456992" y="1877402"/>
          <a:ext cx="367965" cy="367965"/>
        </a:xfrm>
        <a:prstGeom prst="ellipse">
          <a:avLst/>
        </a:prstGeom>
        <a:solidFill>
          <a:schemeClr val="lt1">
            <a:hueOff val="0"/>
            <a:satOff val="0"/>
            <a:lumOff val="0"/>
            <a:alphaOff val="0"/>
          </a:schemeClr>
        </a:solidFill>
        <a:ln w="12700" cap="flat" cmpd="sng" algn="ctr">
          <a:solidFill>
            <a:srgbClr val="55DADD"/>
          </a:solidFill>
          <a:prstDash val="solid"/>
          <a:miter lim="800000"/>
        </a:ln>
        <a:effectLst/>
      </dsp:spPr>
      <dsp:style>
        <a:lnRef idx="2">
          <a:scrgbClr r="0" g="0" b="0"/>
        </a:lnRef>
        <a:fillRef idx="1">
          <a:scrgbClr r="0" g="0" b="0"/>
        </a:fillRef>
        <a:effectRef idx="0">
          <a:scrgbClr r="0" g="0" b="0"/>
        </a:effectRef>
        <a:fontRef idx="minor"/>
      </dsp:style>
    </dsp:sp>
    <dsp:sp modelId="{FD4C2303-2DC2-4C91-8E32-C8C81CD05ACE}">
      <dsp:nvSpPr>
        <dsp:cNvPr id="0" name=""/>
        <dsp:cNvSpPr/>
      </dsp:nvSpPr>
      <dsp:spPr>
        <a:xfrm>
          <a:off x="494889" y="2355693"/>
          <a:ext cx="4248959" cy="294372"/>
        </a:xfrm>
        <a:prstGeom prst="rect">
          <a:avLst/>
        </a:prstGeom>
        <a:solidFill>
          <a:srgbClr val="A3DAE1"/>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658"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a:solidFill>
                <a:sysClr val="windowText" lastClr="000000"/>
              </a:solidFill>
              <a:latin typeface="Arial" panose="020B0604020202020204"/>
              <a:ea typeface="+mn-ea"/>
              <a:cs typeface="+mn-cs"/>
            </a:rPr>
            <a:t>Resources</a:t>
          </a:r>
        </a:p>
      </dsp:txBody>
      <dsp:txXfrm>
        <a:off x="494889" y="2355693"/>
        <a:ext cx="4248959" cy="294372"/>
      </dsp:txXfrm>
    </dsp:sp>
    <dsp:sp modelId="{886F9764-97B0-4CF5-B936-BCCB1B7EF51A}">
      <dsp:nvSpPr>
        <dsp:cNvPr id="0" name=""/>
        <dsp:cNvSpPr/>
      </dsp:nvSpPr>
      <dsp:spPr>
        <a:xfrm>
          <a:off x="310907" y="2318896"/>
          <a:ext cx="367965" cy="367965"/>
        </a:xfrm>
        <a:prstGeom prst="ellipse">
          <a:avLst/>
        </a:prstGeom>
        <a:solidFill>
          <a:srgbClr val="FFFFFF">
            <a:hueOff val="0"/>
            <a:satOff val="0"/>
            <a:lumOff val="0"/>
            <a:alphaOff val="0"/>
          </a:srgbClr>
        </a:solidFill>
        <a:ln w="12700" cap="flat" cmpd="sng" algn="ctr">
          <a:solidFill>
            <a:srgbClr val="4AB5C4"/>
          </a:solidFill>
          <a:prstDash val="solid"/>
          <a:miter lim="800000"/>
        </a:ln>
        <a:effectLst/>
      </dsp:spPr>
      <dsp:style>
        <a:lnRef idx="2">
          <a:scrgbClr r="0" g="0" b="0"/>
        </a:lnRef>
        <a:fillRef idx="1">
          <a:scrgbClr r="0" g="0" b="0"/>
        </a:fillRef>
        <a:effectRef idx="0">
          <a:scrgbClr r="0" g="0" b="0"/>
        </a:effectRef>
        <a:fontRef idx="minor"/>
      </dsp:style>
    </dsp:sp>
    <dsp:sp modelId="{0F64EC14-2123-4B90-89A8-0161FF6A48EA}">
      <dsp:nvSpPr>
        <dsp:cNvPr id="0" name=""/>
        <dsp:cNvSpPr/>
      </dsp:nvSpPr>
      <dsp:spPr>
        <a:xfrm>
          <a:off x="228309" y="2797511"/>
          <a:ext cx="4515540" cy="294372"/>
        </a:xfrm>
        <a:prstGeom prst="rect">
          <a:avLst/>
        </a:prstGeom>
        <a:solidFill>
          <a:srgbClr val="C9E9ED"/>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658" tIns="40640" rIns="40640" bIns="40640" numCol="1" spcCol="1270" anchor="ctr" anchorCtr="0">
          <a:noAutofit/>
        </a:bodyPr>
        <a:lstStyle/>
        <a:p>
          <a:pPr marL="0" lvl="0" indent="0" algn="l" defTabSz="711200">
            <a:lnSpc>
              <a:spcPct val="90000"/>
            </a:lnSpc>
            <a:spcBef>
              <a:spcPct val="0"/>
            </a:spcBef>
            <a:spcAft>
              <a:spcPct val="35000"/>
            </a:spcAft>
            <a:buNone/>
          </a:pPr>
          <a:r>
            <a:rPr lang="en-GB" sz="1600" kern="1200">
              <a:solidFill>
                <a:sysClr val="windowText" lastClr="000000"/>
              </a:solidFill>
              <a:latin typeface="Arial" panose="020B0604020202020204"/>
              <a:ea typeface="+mn-ea"/>
              <a:cs typeface="+mn-cs"/>
            </a:rPr>
            <a:t>University policies</a:t>
          </a:r>
        </a:p>
      </dsp:txBody>
      <dsp:txXfrm>
        <a:off x="228309" y="2797511"/>
        <a:ext cx="4515540" cy="294372"/>
      </dsp:txXfrm>
    </dsp:sp>
    <dsp:sp modelId="{FC95C309-E1F7-4DA1-ACDA-C953E91F90DD}">
      <dsp:nvSpPr>
        <dsp:cNvPr id="0" name=""/>
        <dsp:cNvSpPr/>
      </dsp:nvSpPr>
      <dsp:spPr>
        <a:xfrm>
          <a:off x="44326" y="2760714"/>
          <a:ext cx="367965" cy="367965"/>
        </a:xfrm>
        <a:prstGeom prst="ellipse">
          <a:avLst/>
        </a:prstGeom>
        <a:solidFill>
          <a:schemeClr val="lt1">
            <a:hueOff val="0"/>
            <a:satOff val="0"/>
            <a:lumOff val="0"/>
            <a:alphaOff val="0"/>
          </a:schemeClr>
        </a:solidFill>
        <a:ln w="12700" cap="flat" cmpd="sng" algn="ctr">
          <a:solidFill>
            <a:srgbClr val="C9E9ED"/>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13021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changes to courses and modules - guidance on consulting with internal stakeholders</dc:title>
  <dc:subject>Guidance on consulting with internal stakeholders for curriculum update;</dc:subject>
  <dc:creator>QUAD</dc:creator>
  <cp:keywords>Making changes to courses and modules;Guidance on consulting with internal stakeholders</cp:keywords>
  <dc:description/>
  <cp:lastModifiedBy>Suhail, Aminah</cp:lastModifiedBy>
  <cp:revision>36</cp:revision>
  <cp:lastPrinted>2021-05-04T15:09:00Z</cp:lastPrinted>
  <dcterms:created xsi:type="dcterms:W3CDTF">2023-10-20T08:44:00Z</dcterms:created>
  <dcterms:modified xsi:type="dcterms:W3CDTF">2025-08-04T11:09:00Z</dcterms:modified>
  <cp:category/>
</cp:coreProperties>
</file>