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7797"/>
        <w:gridCol w:w="2669"/>
      </w:tblGrid>
      <w:tr w:rsidR="005B486D" w:rsidRPr="00BB3674" w14:paraId="32EE59C9" w14:textId="77777777" w:rsidTr="004924A0">
        <w:trPr>
          <w:trHeight w:hRule="exact" w:val="1708"/>
        </w:trPr>
        <w:tc>
          <w:tcPr>
            <w:tcW w:w="3725" w:type="pct"/>
            <w:tcBorders>
              <w:top w:val="nil"/>
              <w:left w:val="nil"/>
              <w:bottom w:val="nil"/>
              <w:right w:val="nil"/>
            </w:tcBorders>
            <w:shd w:val="clear" w:color="auto" w:fill="007A87"/>
            <w:vAlign w:val="center"/>
          </w:tcPr>
          <w:p w14:paraId="0F3402CB" w14:textId="76E147F3" w:rsidR="005B486D" w:rsidRPr="00856E2F" w:rsidRDefault="007346CF" w:rsidP="003B49D0">
            <w:pPr>
              <w:spacing w:after="0"/>
              <w:rPr>
                <w:rFonts w:asciiTheme="majorHAnsi" w:hAnsiTheme="majorHAnsi" w:cstheme="majorHAnsi"/>
                <w:color w:val="FFFFFF" w:themeColor="background1"/>
                <w:sz w:val="72"/>
                <w:szCs w:val="72"/>
              </w:rPr>
            </w:pPr>
            <w:r w:rsidRPr="004924A0">
              <w:rPr>
                <w:rFonts w:ascii="Arial Black" w:hAnsi="Arial Black" w:cstheme="majorHAnsi"/>
                <w:color w:val="FFFFFF" w:themeColor="background1"/>
                <w:sz w:val="56"/>
                <w:szCs w:val="56"/>
              </w:rPr>
              <w:t>New course approvals</w:t>
            </w:r>
            <w:r w:rsidR="00CB558E" w:rsidRPr="004924A0">
              <w:rPr>
                <w:rFonts w:asciiTheme="majorHAnsi" w:hAnsiTheme="majorHAnsi" w:cstheme="majorHAnsi"/>
                <w:color w:val="FFFFFF" w:themeColor="background1"/>
                <w:sz w:val="56"/>
                <w:szCs w:val="56"/>
              </w:rPr>
              <w:t xml:space="preserve"> </w:t>
            </w:r>
            <w:r w:rsidR="00CB558E" w:rsidRPr="004924A0">
              <w:rPr>
                <w:rFonts w:ascii="Arial Black" w:hAnsi="Arial Black" w:cstheme="majorHAnsi"/>
                <w:color w:val="FFFFFF" w:themeColor="background1"/>
                <w:sz w:val="32"/>
                <w:szCs w:val="32"/>
              </w:rPr>
              <w:t>External input and student consultation</w:t>
            </w:r>
          </w:p>
        </w:tc>
        <w:tc>
          <w:tcPr>
            <w:tcW w:w="1275" w:type="pct"/>
            <w:tcBorders>
              <w:top w:val="nil"/>
              <w:left w:val="nil"/>
              <w:bottom w:val="nil"/>
              <w:right w:val="nil"/>
            </w:tcBorders>
            <w:shd w:val="clear" w:color="auto" w:fill="007A87"/>
          </w:tcPr>
          <w:p w14:paraId="595BD45A" w14:textId="77777777" w:rsidR="005B486D" w:rsidRPr="00BB3674" w:rsidRDefault="005B486D" w:rsidP="00BB3674">
            <w:pPr>
              <w:spacing w:before="120" w:after="120"/>
              <w:jc w:val="right"/>
              <w:rPr>
                <w:sz w:val="80"/>
                <w:szCs w:val="80"/>
              </w:rPr>
            </w:pPr>
            <w:r w:rsidRPr="00BB3674">
              <w:rPr>
                <w:noProof/>
                <w:sz w:val="80"/>
                <w:szCs w:val="80"/>
                <w:lang w:eastAsia="en-GB"/>
              </w:rPr>
              <w:drawing>
                <wp:inline distT="0" distB="0" distL="0" distR="0" wp14:anchorId="468336B1" wp14:editId="164DEAA8">
                  <wp:extent cx="1310092" cy="1373550"/>
                  <wp:effectExtent l="0" t="0" r="444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1312626" cy="1376207"/>
                          </a:xfrm>
                          <a:prstGeom prst="rect">
                            <a:avLst/>
                          </a:prstGeom>
                        </pic:spPr>
                      </pic:pic>
                    </a:graphicData>
                  </a:graphic>
                </wp:inline>
              </w:drawing>
            </w:r>
          </w:p>
        </w:tc>
      </w:tr>
    </w:tbl>
    <w:p w14:paraId="3B5F826E" w14:textId="699B4CFD" w:rsidR="00CB558E" w:rsidRPr="009435B4" w:rsidRDefault="002E73FE" w:rsidP="009435B4">
      <w:pPr>
        <w:spacing w:before="240" w:after="120" w:line="360" w:lineRule="auto"/>
        <w:rPr>
          <w:rFonts w:cstheme="minorHAnsi"/>
          <w:color w:val="404040" w:themeColor="text1" w:themeTint="BF"/>
          <w:sz w:val="24"/>
          <w:szCs w:val="24"/>
        </w:rPr>
      </w:pPr>
      <w:r w:rsidRPr="009435B4">
        <w:rPr>
          <w:rFonts w:cstheme="minorHAnsi"/>
          <w:color w:val="404040" w:themeColor="text1" w:themeTint="BF"/>
          <w:sz w:val="24"/>
          <w:szCs w:val="24"/>
        </w:rPr>
        <w:t xml:space="preserve">All new course proposals should provide evidence of consultation in line with the </w:t>
      </w:r>
      <w:hyperlink r:id="rId9" w:history="1">
        <w:r w:rsidRPr="005F0DBC">
          <w:rPr>
            <w:rStyle w:val="Hyperlink"/>
            <w:rFonts w:cstheme="minorHAnsi"/>
            <w:sz w:val="24"/>
            <w:szCs w:val="24"/>
          </w:rPr>
          <w:t>approval category</w:t>
        </w:r>
      </w:hyperlink>
      <w:r w:rsidR="00CB558E" w:rsidRPr="009435B4">
        <w:rPr>
          <w:rFonts w:cstheme="minorHAnsi"/>
          <w:color w:val="404040" w:themeColor="text1" w:themeTint="BF"/>
          <w:sz w:val="24"/>
          <w:szCs w:val="24"/>
        </w:rPr>
        <w:t>.</w:t>
      </w:r>
    </w:p>
    <w:p w14:paraId="3F7ECBB7" w14:textId="77B469AC" w:rsidR="002E73FE" w:rsidRPr="009435B4" w:rsidRDefault="002E73FE" w:rsidP="009435B4">
      <w:pPr>
        <w:spacing w:before="240" w:after="120" w:line="360" w:lineRule="auto"/>
        <w:rPr>
          <w:rFonts w:cstheme="minorHAnsi"/>
          <w:color w:val="404040" w:themeColor="text1" w:themeTint="BF"/>
          <w:sz w:val="24"/>
          <w:szCs w:val="24"/>
        </w:rPr>
      </w:pPr>
      <w:r w:rsidRPr="009435B4">
        <w:rPr>
          <w:rFonts w:cstheme="minorHAnsi"/>
          <w:color w:val="404040" w:themeColor="text1" w:themeTint="BF"/>
          <w:sz w:val="24"/>
          <w:szCs w:val="24"/>
        </w:rPr>
        <w:t>New courses and developments benefit from independent and impartial input and advice, by providing a comparison with the quality and standards of similar courses and awards elsewhere, and by offering feedback on the course and module design.</w:t>
      </w:r>
      <w:r w:rsidR="00C83908" w:rsidRPr="009435B4">
        <w:rPr>
          <w:rFonts w:cstheme="minorHAnsi"/>
          <w:color w:val="404040" w:themeColor="text1" w:themeTint="BF"/>
          <w:sz w:val="24"/>
          <w:szCs w:val="24"/>
        </w:rPr>
        <w:t xml:space="preserve">  </w:t>
      </w:r>
      <w:r w:rsidRPr="009435B4">
        <w:rPr>
          <w:rFonts w:cstheme="minorHAnsi"/>
          <w:color w:val="404040" w:themeColor="text1" w:themeTint="BF"/>
          <w:sz w:val="24"/>
          <w:szCs w:val="24"/>
        </w:rPr>
        <w:t>Feedback can be sought through a range of external expertise, for example, external academics, employer and industry contacts and professional bodies.</w:t>
      </w:r>
      <w:r w:rsidR="00D600F4">
        <w:rPr>
          <w:rFonts w:cstheme="minorHAnsi"/>
          <w:color w:val="404040" w:themeColor="text1" w:themeTint="BF"/>
          <w:sz w:val="24"/>
          <w:szCs w:val="24"/>
        </w:rPr>
        <w:t xml:space="preserve"> Please note ongoing consultation with employers will be vital when designing a new apprenticeship. </w:t>
      </w:r>
    </w:p>
    <w:p w14:paraId="7E59F5A8" w14:textId="77777777" w:rsidR="002E73FE" w:rsidRPr="009435B4" w:rsidRDefault="002E73FE" w:rsidP="009435B4">
      <w:pPr>
        <w:pStyle w:val="Heading1"/>
        <w:spacing w:before="200" w:after="120" w:line="360" w:lineRule="auto"/>
        <w:rPr>
          <w:rFonts w:ascii="Arial Black" w:hAnsi="Arial Black"/>
          <w:color w:val="007A87"/>
        </w:rPr>
      </w:pPr>
      <w:r w:rsidRPr="009435B4">
        <w:rPr>
          <w:rFonts w:ascii="Arial Black" w:hAnsi="Arial Black"/>
          <w:color w:val="007A87"/>
        </w:rPr>
        <w:t>External academic input</w:t>
      </w:r>
    </w:p>
    <w:p w14:paraId="5C32277D" w14:textId="16BFEB02" w:rsidR="002E73FE" w:rsidRPr="009435B4" w:rsidRDefault="002E73FE" w:rsidP="009435B4">
      <w:pPr>
        <w:spacing w:before="120" w:line="360" w:lineRule="auto"/>
        <w:rPr>
          <w:rFonts w:cstheme="minorHAnsi"/>
          <w:color w:val="404040" w:themeColor="text1" w:themeTint="BF"/>
          <w:sz w:val="24"/>
          <w:szCs w:val="24"/>
        </w:rPr>
      </w:pPr>
      <w:r w:rsidRPr="009435B4">
        <w:rPr>
          <w:rFonts w:cstheme="minorHAnsi"/>
          <w:color w:val="404040" w:themeColor="text1" w:themeTint="BF"/>
          <w:sz w:val="24"/>
          <w:szCs w:val="24"/>
        </w:rPr>
        <w:t>The department should identify and approach external expert(s).</w:t>
      </w:r>
      <w:r w:rsidR="0019595F" w:rsidRPr="009435B4">
        <w:rPr>
          <w:rFonts w:eastAsia="Times New Roman"/>
          <w:bCs/>
          <w:color w:val="404040" w:themeColor="text1" w:themeTint="BF"/>
          <w:sz w:val="24"/>
          <w:szCs w:val="24"/>
        </w:rPr>
        <w:t xml:space="preserve"> Use of an external expert for approval purposes does not affect the subsequent eligibility of that individual for nomination as an external examiner.</w:t>
      </w:r>
    </w:p>
    <w:p w14:paraId="0B21D130" w14:textId="77777777" w:rsidR="002E73FE" w:rsidRPr="009435B4" w:rsidRDefault="002E73FE" w:rsidP="009435B4">
      <w:pPr>
        <w:pStyle w:val="Heading2"/>
        <w:spacing w:after="120" w:line="360" w:lineRule="auto"/>
        <w:rPr>
          <w:color w:val="auto"/>
        </w:rPr>
      </w:pPr>
      <w:r w:rsidRPr="009435B4">
        <w:rPr>
          <w:color w:val="auto"/>
        </w:rPr>
        <w:t>Category 1 and 2 new course approvals</w:t>
      </w:r>
    </w:p>
    <w:p w14:paraId="22B8A7CA" w14:textId="427A1758" w:rsidR="006B7F72" w:rsidRPr="009435B4" w:rsidRDefault="009034BE" w:rsidP="009435B4">
      <w:pPr>
        <w:pStyle w:val="ListParagraph"/>
        <w:numPr>
          <w:ilvl w:val="0"/>
          <w:numId w:val="2"/>
        </w:numPr>
        <w:spacing w:before="80" w:after="80" w:line="360" w:lineRule="auto"/>
        <w:ind w:left="357" w:right="567" w:hanging="357"/>
        <w:contextualSpacing w:val="0"/>
        <w:outlineLvl w:val="0"/>
        <w:rPr>
          <w:rFonts w:eastAsia="Times New Roman"/>
          <w:bCs/>
          <w:color w:val="404040" w:themeColor="text1" w:themeTint="BF"/>
          <w:sz w:val="24"/>
          <w:szCs w:val="24"/>
        </w:rPr>
      </w:pPr>
      <w:r w:rsidRPr="009435B4">
        <w:rPr>
          <w:rFonts w:eastAsia="Times New Roman"/>
          <w:bCs/>
          <w:color w:val="404040" w:themeColor="text1" w:themeTint="BF"/>
          <w:sz w:val="24"/>
          <w:szCs w:val="24"/>
        </w:rPr>
        <w:t xml:space="preserve">For category 1 new courses, </w:t>
      </w:r>
      <w:r w:rsidR="002E73FE" w:rsidRPr="009435B4">
        <w:rPr>
          <w:rFonts w:eastAsia="Times New Roman"/>
          <w:bCs/>
          <w:color w:val="404040" w:themeColor="text1" w:themeTint="BF"/>
          <w:sz w:val="24"/>
          <w:szCs w:val="24"/>
        </w:rPr>
        <w:t>th</w:t>
      </w:r>
      <w:r w:rsidRPr="009435B4">
        <w:rPr>
          <w:rFonts w:eastAsia="Times New Roman"/>
          <w:bCs/>
          <w:color w:val="404040" w:themeColor="text1" w:themeTint="BF"/>
          <w:sz w:val="24"/>
          <w:szCs w:val="24"/>
        </w:rPr>
        <w:t>e current External Examiner should be consulted</w:t>
      </w:r>
      <w:r w:rsidR="00A971FF" w:rsidRPr="009435B4">
        <w:rPr>
          <w:rFonts w:eastAsia="Times New Roman"/>
          <w:bCs/>
          <w:color w:val="404040" w:themeColor="text1" w:themeTint="BF"/>
          <w:sz w:val="24"/>
          <w:szCs w:val="24"/>
        </w:rPr>
        <w:t>.</w:t>
      </w:r>
      <w:r w:rsidR="006B7F72" w:rsidRPr="009435B4">
        <w:rPr>
          <w:rFonts w:eastAsia="Times New Roman"/>
          <w:bCs/>
          <w:color w:val="404040" w:themeColor="text1" w:themeTint="BF"/>
          <w:sz w:val="24"/>
          <w:szCs w:val="24"/>
        </w:rPr>
        <w:t xml:space="preserve"> </w:t>
      </w:r>
      <w:r w:rsidR="00A971FF" w:rsidRPr="009435B4">
        <w:rPr>
          <w:rFonts w:eastAsia="Times New Roman"/>
          <w:bCs/>
          <w:color w:val="404040" w:themeColor="text1" w:themeTint="BF"/>
          <w:sz w:val="24"/>
          <w:szCs w:val="24"/>
        </w:rPr>
        <w:t xml:space="preserve"> </w:t>
      </w:r>
      <w:r w:rsidR="006B7F72" w:rsidRPr="009435B4">
        <w:rPr>
          <w:rFonts w:eastAsia="Times New Roman"/>
          <w:bCs/>
          <w:color w:val="404040" w:themeColor="text1" w:themeTint="BF"/>
          <w:sz w:val="24"/>
          <w:szCs w:val="24"/>
        </w:rPr>
        <w:t xml:space="preserve">In most instances review of category 1 new course materials is considered to be a component of an External Examiner's core </w:t>
      </w:r>
      <w:hyperlink r:id="rId10" w:history="1">
        <w:r w:rsidR="006B7F72" w:rsidRPr="009435B4">
          <w:rPr>
            <w:rStyle w:val="Hyperlink"/>
            <w:rFonts w:eastAsia="Times New Roman"/>
            <w:bCs/>
            <w:sz w:val="24"/>
            <w:szCs w:val="24"/>
          </w:rPr>
          <w:t>roles and responsibilities</w:t>
        </w:r>
      </w:hyperlink>
      <w:r w:rsidR="006B7F72" w:rsidRPr="009435B4">
        <w:rPr>
          <w:rFonts w:eastAsia="Times New Roman"/>
          <w:bCs/>
          <w:color w:val="404040" w:themeColor="text1" w:themeTint="BF"/>
          <w:sz w:val="24"/>
          <w:szCs w:val="24"/>
        </w:rPr>
        <w:t xml:space="preserve"> and is encompassed within the agreed annual fee. In the rare situations where new course materials are seen to represent a substantial increase in workload for an External Examiner, a discretionary additional payment of may be made. The allocation of an additional fee is to ensure parity of workload and pay for External Examiners across the University of Essex, and its allocation will be determined by QUAD in consultation with the External Examiner's appointing Department. </w:t>
      </w:r>
    </w:p>
    <w:p w14:paraId="634FBFF0" w14:textId="77777777" w:rsidR="009034BE" w:rsidRPr="009435B4" w:rsidRDefault="002E73FE" w:rsidP="009435B4">
      <w:pPr>
        <w:pStyle w:val="ListParagraph"/>
        <w:numPr>
          <w:ilvl w:val="0"/>
          <w:numId w:val="2"/>
        </w:numPr>
        <w:spacing w:before="80" w:after="80" w:line="360" w:lineRule="auto"/>
        <w:ind w:left="357" w:right="567" w:hanging="357"/>
        <w:contextualSpacing w:val="0"/>
        <w:outlineLvl w:val="0"/>
        <w:rPr>
          <w:rFonts w:eastAsia="Times New Roman"/>
          <w:bCs/>
          <w:color w:val="404040" w:themeColor="text1" w:themeTint="BF"/>
          <w:sz w:val="24"/>
          <w:szCs w:val="24"/>
        </w:rPr>
      </w:pPr>
      <w:r w:rsidRPr="009435B4">
        <w:rPr>
          <w:rFonts w:eastAsia="Times New Roman"/>
          <w:bCs/>
          <w:color w:val="404040" w:themeColor="text1" w:themeTint="BF"/>
          <w:sz w:val="24"/>
          <w:szCs w:val="24"/>
        </w:rPr>
        <w:t xml:space="preserve">For category 2 new courses, an independent external academic expert should be consulted (see </w:t>
      </w:r>
      <w:hyperlink r:id="rId11" w:history="1">
        <w:r w:rsidRPr="009435B4">
          <w:rPr>
            <w:rStyle w:val="Hyperlink"/>
            <w:rFonts w:eastAsia="Times New Roman"/>
            <w:bCs/>
            <w:sz w:val="24"/>
            <w:szCs w:val="24"/>
          </w:rPr>
          <w:t>criteria for appointment as an External Examiner</w:t>
        </w:r>
      </w:hyperlink>
      <w:r w:rsidRPr="009435B4">
        <w:rPr>
          <w:rFonts w:eastAsia="Times New Roman"/>
          <w:bCs/>
          <w:color w:val="404040" w:themeColor="text1" w:themeTint="BF"/>
          <w:sz w:val="24"/>
          <w:szCs w:val="24"/>
        </w:rPr>
        <w:t>)</w:t>
      </w:r>
      <w:r w:rsidR="009034BE" w:rsidRPr="009435B4">
        <w:rPr>
          <w:rFonts w:eastAsia="Times New Roman"/>
          <w:bCs/>
          <w:color w:val="404040" w:themeColor="text1" w:themeTint="BF"/>
          <w:sz w:val="24"/>
          <w:szCs w:val="24"/>
        </w:rPr>
        <w:t>.</w:t>
      </w:r>
    </w:p>
    <w:p w14:paraId="082D3A6B" w14:textId="487D2DC9" w:rsidR="002E73FE" w:rsidRPr="009435B4" w:rsidRDefault="002E73FE" w:rsidP="009435B4">
      <w:pPr>
        <w:pStyle w:val="ListParagraph"/>
        <w:numPr>
          <w:ilvl w:val="0"/>
          <w:numId w:val="2"/>
        </w:numPr>
        <w:spacing w:before="80" w:after="80" w:line="360" w:lineRule="auto"/>
        <w:ind w:left="357" w:right="567" w:hanging="357"/>
        <w:contextualSpacing w:val="0"/>
        <w:outlineLvl w:val="0"/>
        <w:rPr>
          <w:rFonts w:eastAsia="Times New Roman"/>
          <w:bCs/>
          <w:color w:val="404040" w:themeColor="text1" w:themeTint="BF"/>
          <w:sz w:val="24"/>
          <w:szCs w:val="24"/>
        </w:rPr>
      </w:pPr>
      <w:r w:rsidRPr="009435B4">
        <w:rPr>
          <w:rFonts w:eastAsia="Times New Roman"/>
          <w:bCs/>
          <w:color w:val="404040" w:themeColor="text1" w:themeTint="BF"/>
          <w:sz w:val="24"/>
          <w:szCs w:val="24"/>
        </w:rPr>
        <w:t xml:space="preserve">A </w:t>
      </w:r>
      <w:hyperlink r:id="rId12" w:anchor="course" w:history="1">
        <w:r w:rsidRPr="009435B4">
          <w:rPr>
            <w:rStyle w:val="Hyperlink"/>
            <w:rFonts w:eastAsia="Times New Roman"/>
            <w:bCs/>
            <w:sz w:val="24"/>
            <w:szCs w:val="24"/>
          </w:rPr>
          <w:t>template external academic expert report</w:t>
        </w:r>
      </w:hyperlink>
      <w:r w:rsidRPr="009435B4">
        <w:rPr>
          <w:rFonts w:eastAsia="Times New Roman"/>
          <w:bCs/>
          <w:color w:val="404040" w:themeColor="text1" w:themeTint="BF"/>
          <w:sz w:val="24"/>
          <w:szCs w:val="24"/>
        </w:rPr>
        <w:t xml:space="preserve"> is provided as a guide to the questions the external should be asked to comment on</w:t>
      </w:r>
      <w:r w:rsidR="009034BE" w:rsidRPr="009435B4">
        <w:rPr>
          <w:rFonts w:eastAsia="Times New Roman"/>
          <w:bCs/>
          <w:color w:val="404040" w:themeColor="text1" w:themeTint="BF"/>
          <w:sz w:val="24"/>
          <w:szCs w:val="24"/>
        </w:rPr>
        <w:t>.</w:t>
      </w:r>
    </w:p>
    <w:p w14:paraId="4D3A2457" w14:textId="4F295B78" w:rsidR="002E73FE" w:rsidRPr="009435B4" w:rsidRDefault="002E73FE" w:rsidP="009435B4">
      <w:pPr>
        <w:pStyle w:val="ListParagraph"/>
        <w:numPr>
          <w:ilvl w:val="0"/>
          <w:numId w:val="2"/>
        </w:numPr>
        <w:spacing w:before="80" w:after="120" w:line="360" w:lineRule="auto"/>
        <w:ind w:left="357" w:right="567" w:hanging="357"/>
        <w:contextualSpacing w:val="0"/>
        <w:outlineLvl w:val="0"/>
        <w:rPr>
          <w:rFonts w:eastAsia="Times New Roman"/>
          <w:bCs/>
          <w:color w:val="404040" w:themeColor="text1" w:themeTint="BF"/>
          <w:sz w:val="24"/>
          <w:szCs w:val="24"/>
        </w:rPr>
      </w:pPr>
      <w:r w:rsidRPr="009435B4">
        <w:rPr>
          <w:rFonts w:eastAsia="Times New Roman"/>
          <w:bCs/>
          <w:color w:val="404040" w:themeColor="text1" w:themeTint="BF"/>
          <w:sz w:val="24"/>
          <w:szCs w:val="24"/>
        </w:rPr>
        <w:t>The external expert</w:t>
      </w:r>
      <w:r w:rsidR="002B54A3" w:rsidRPr="009435B4">
        <w:rPr>
          <w:rFonts w:eastAsia="Times New Roman"/>
          <w:bCs/>
          <w:color w:val="404040" w:themeColor="text1" w:themeTint="BF"/>
          <w:sz w:val="24"/>
          <w:szCs w:val="24"/>
        </w:rPr>
        <w:t xml:space="preserve"> for category 2 new courses</w:t>
      </w:r>
      <w:r w:rsidRPr="009435B4">
        <w:rPr>
          <w:rFonts w:eastAsia="Times New Roman"/>
          <w:bCs/>
          <w:color w:val="404040" w:themeColor="text1" w:themeTint="BF"/>
          <w:sz w:val="24"/>
          <w:szCs w:val="24"/>
        </w:rPr>
        <w:t xml:space="preserve"> is entitled to a fee of £150</w:t>
      </w:r>
      <w:r w:rsidR="002B54A3" w:rsidRPr="009435B4">
        <w:rPr>
          <w:rFonts w:eastAsia="Times New Roman"/>
          <w:bCs/>
          <w:color w:val="404040" w:themeColor="text1" w:themeTint="BF"/>
          <w:sz w:val="24"/>
          <w:szCs w:val="24"/>
        </w:rPr>
        <w:t>.00</w:t>
      </w:r>
      <w:r w:rsidRPr="009435B4">
        <w:rPr>
          <w:rFonts w:eastAsia="Times New Roman"/>
          <w:bCs/>
          <w:color w:val="404040" w:themeColor="text1" w:themeTint="BF"/>
          <w:sz w:val="24"/>
          <w:szCs w:val="24"/>
        </w:rPr>
        <w:t xml:space="preserve"> on completion of their written report. </w:t>
      </w:r>
      <w:r w:rsidR="009034BE" w:rsidRPr="009435B4">
        <w:rPr>
          <w:rFonts w:eastAsia="Times New Roman"/>
          <w:bCs/>
          <w:color w:val="404040" w:themeColor="text1" w:themeTint="BF"/>
          <w:sz w:val="24"/>
          <w:szCs w:val="24"/>
        </w:rPr>
        <w:t xml:space="preserve"> </w:t>
      </w:r>
      <w:r w:rsidRPr="009435B4">
        <w:rPr>
          <w:rFonts w:eastAsia="Times New Roman"/>
          <w:bCs/>
          <w:color w:val="404040" w:themeColor="text1" w:themeTint="BF"/>
          <w:sz w:val="24"/>
          <w:szCs w:val="24"/>
        </w:rPr>
        <w:t>The department should pay the external expert's fee and claim it back via the QUAD team.</w:t>
      </w:r>
    </w:p>
    <w:p w14:paraId="4A91011C" w14:textId="77777777" w:rsidR="002E73FE" w:rsidRPr="009435B4" w:rsidRDefault="002E73FE" w:rsidP="009435B4">
      <w:pPr>
        <w:pStyle w:val="Heading2"/>
        <w:spacing w:after="120" w:line="360" w:lineRule="auto"/>
        <w:rPr>
          <w:color w:val="auto"/>
        </w:rPr>
      </w:pPr>
      <w:r w:rsidRPr="009435B4">
        <w:rPr>
          <w:color w:val="auto"/>
        </w:rPr>
        <w:lastRenderedPageBreak/>
        <w:t>Category 3 new courses (approval via a validation event)</w:t>
      </w:r>
    </w:p>
    <w:p w14:paraId="37E47167" w14:textId="06517B2A" w:rsidR="002E73FE" w:rsidRPr="009435B4" w:rsidRDefault="0019595F" w:rsidP="009435B4">
      <w:pPr>
        <w:pStyle w:val="ListParagraph"/>
        <w:numPr>
          <w:ilvl w:val="0"/>
          <w:numId w:val="2"/>
        </w:numPr>
        <w:spacing w:before="80" w:after="80" w:line="360" w:lineRule="auto"/>
        <w:ind w:left="357" w:right="567" w:hanging="357"/>
        <w:contextualSpacing w:val="0"/>
        <w:outlineLvl w:val="0"/>
        <w:rPr>
          <w:rFonts w:eastAsia="Times New Roman"/>
          <w:bCs/>
          <w:color w:val="404040" w:themeColor="text1" w:themeTint="BF"/>
          <w:sz w:val="24"/>
          <w:szCs w:val="24"/>
        </w:rPr>
      </w:pPr>
      <w:r w:rsidRPr="009435B4">
        <w:rPr>
          <w:rFonts w:eastAsia="Times New Roman"/>
          <w:bCs/>
          <w:color w:val="404040" w:themeColor="text1" w:themeTint="BF"/>
          <w:sz w:val="24"/>
          <w:szCs w:val="24"/>
        </w:rPr>
        <w:t>M</w:t>
      </w:r>
      <w:r w:rsidR="002E73FE" w:rsidRPr="009435B4">
        <w:rPr>
          <w:rFonts w:eastAsia="Times New Roman"/>
          <w:bCs/>
          <w:color w:val="404040" w:themeColor="text1" w:themeTint="BF"/>
          <w:sz w:val="24"/>
          <w:szCs w:val="24"/>
        </w:rPr>
        <w:t>embers of validation panels are approved by the Chair as part of preparation for validation event</w:t>
      </w:r>
      <w:r w:rsidRPr="009435B4">
        <w:rPr>
          <w:rFonts w:eastAsia="Times New Roman"/>
          <w:bCs/>
          <w:color w:val="404040" w:themeColor="text1" w:themeTint="BF"/>
          <w:sz w:val="24"/>
          <w:szCs w:val="24"/>
        </w:rPr>
        <w:t>s</w:t>
      </w:r>
      <w:r w:rsidR="002E73FE" w:rsidRPr="009435B4">
        <w:rPr>
          <w:rFonts w:eastAsia="Times New Roman"/>
          <w:bCs/>
          <w:color w:val="404040" w:themeColor="text1" w:themeTint="BF"/>
          <w:sz w:val="24"/>
          <w:szCs w:val="24"/>
        </w:rPr>
        <w:t>.</w:t>
      </w:r>
    </w:p>
    <w:p w14:paraId="51DF5B47" w14:textId="77777777" w:rsidR="002E73FE" w:rsidRPr="009435B4" w:rsidRDefault="002E73FE" w:rsidP="009435B4">
      <w:pPr>
        <w:pStyle w:val="ListParagraph"/>
        <w:numPr>
          <w:ilvl w:val="0"/>
          <w:numId w:val="2"/>
        </w:numPr>
        <w:spacing w:before="80" w:after="80" w:line="360" w:lineRule="auto"/>
        <w:ind w:left="357" w:right="567" w:hanging="357"/>
        <w:contextualSpacing w:val="0"/>
        <w:outlineLvl w:val="0"/>
        <w:rPr>
          <w:rFonts w:eastAsia="Times New Roman"/>
          <w:bCs/>
          <w:color w:val="404040" w:themeColor="text1" w:themeTint="BF"/>
          <w:sz w:val="24"/>
          <w:szCs w:val="24"/>
        </w:rPr>
      </w:pPr>
      <w:r w:rsidRPr="009435B4">
        <w:rPr>
          <w:rFonts w:eastAsia="Times New Roman"/>
          <w:bCs/>
          <w:color w:val="404040" w:themeColor="text1" w:themeTint="BF"/>
          <w:sz w:val="24"/>
          <w:szCs w:val="24"/>
        </w:rPr>
        <w:t>The department will be asked to identify external experts who are qualified to join the validation panel.</w:t>
      </w:r>
    </w:p>
    <w:p w14:paraId="00BD8AFD" w14:textId="77777777" w:rsidR="002E73FE" w:rsidRPr="009435B4" w:rsidRDefault="002E73FE" w:rsidP="009435B4">
      <w:pPr>
        <w:pStyle w:val="ListParagraph"/>
        <w:numPr>
          <w:ilvl w:val="0"/>
          <w:numId w:val="2"/>
        </w:numPr>
        <w:spacing w:before="80" w:after="120" w:line="360" w:lineRule="auto"/>
        <w:ind w:left="357" w:right="567" w:hanging="357"/>
        <w:contextualSpacing w:val="0"/>
        <w:outlineLvl w:val="0"/>
        <w:rPr>
          <w:rFonts w:eastAsia="Times New Roman"/>
          <w:bCs/>
          <w:color w:val="404040" w:themeColor="text1" w:themeTint="BF"/>
          <w:sz w:val="24"/>
          <w:szCs w:val="24"/>
        </w:rPr>
      </w:pPr>
      <w:r w:rsidRPr="009435B4">
        <w:rPr>
          <w:rFonts w:eastAsia="Times New Roman"/>
          <w:bCs/>
          <w:color w:val="404040" w:themeColor="text1" w:themeTint="BF"/>
          <w:sz w:val="24"/>
          <w:szCs w:val="24"/>
        </w:rPr>
        <w:t>A case for nomination, including the external’s CV, should be sent to the QUAD team who will liaise with the Chair to seek approval.</w:t>
      </w:r>
    </w:p>
    <w:p w14:paraId="0289B75F" w14:textId="77777777" w:rsidR="002E73FE" w:rsidRPr="009435B4" w:rsidRDefault="002E73FE" w:rsidP="009435B4">
      <w:pPr>
        <w:pStyle w:val="Heading1"/>
        <w:spacing w:before="200" w:after="120" w:line="360" w:lineRule="auto"/>
        <w:rPr>
          <w:rFonts w:ascii="Arial Black" w:hAnsi="Arial Black"/>
          <w:color w:val="007A87"/>
        </w:rPr>
      </w:pPr>
      <w:r w:rsidRPr="009435B4">
        <w:rPr>
          <w:rFonts w:ascii="Arial Black" w:hAnsi="Arial Black"/>
          <w:color w:val="007A87"/>
        </w:rPr>
        <w:t>Professional input</w:t>
      </w:r>
    </w:p>
    <w:p w14:paraId="784C7879" w14:textId="60DE54B2" w:rsidR="002E73FE" w:rsidRPr="009435B4" w:rsidRDefault="002E73FE" w:rsidP="009435B4">
      <w:pPr>
        <w:spacing w:after="120" w:line="360" w:lineRule="auto"/>
        <w:rPr>
          <w:rFonts w:cstheme="minorHAnsi"/>
          <w:color w:val="404040" w:themeColor="text1" w:themeTint="BF"/>
          <w:sz w:val="24"/>
          <w:szCs w:val="24"/>
        </w:rPr>
      </w:pPr>
      <w:r w:rsidRPr="009435B4">
        <w:rPr>
          <w:rFonts w:cstheme="minorHAnsi"/>
          <w:color w:val="404040" w:themeColor="text1" w:themeTint="BF"/>
          <w:sz w:val="24"/>
          <w:szCs w:val="24"/>
        </w:rPr>
        <w:t xml:space="preserve">Input from industry contacts and professional bodies helps to design courses which are responsive to the needs of industry, </w:t>
      </w:r>
      <w:proofErr w:type="gramStart"/>
      <w:r w:rsidRPr="009435B4">
        <w:rPr>
          <w:rFonts w:cstheme="minorHAnsi"/>
          <w:color w:val="404040" w:themeColor="text1" w:themeTint="BF"/>
          <w:sz w:val="24"/>
          <w:szCs w:val="24"/>
        </w:rPr>
        <w:t>enterprise</w:t>
      </w:r>
      <w:proofErr w:type="gramEnd"/>
      <w:r w:rsidRPr="009435B4">
        <w:rPr>
          <w:rFonts w:cstheme="minorHAnsi"/>
          <w:color w:val="404040" w:themeColor="text1" w:themeTint="BF"/>
          <w:sz w:val="24"/>
          <w:szCs w:val="24"/>
        </w:rPr>
        <w:t xml:space="preserve"> and employers.</w:t>
      </w:r>
      <w:r w:rsidR="00F76931" w:rsidRPr="009435B4">
        <w:rPr>
          <w:rFonts w:cstheme="minorHAnsi"/>
          <w:color w:val="404040" w:themeColor="text1" w:themeTint="BF"/>
          <w:sz w:val="24"/>
          <w:szCs w:val="24"/>
        </w:rPr>
        <w:t xml:space="preserve"> </w:t>
      </w:r>
      <w:r w:rsidRPr="009435B4">
        <w:rPr>
          <w:rFonts w:cstheme="minorHAnsi"/>
          <w:color w:val="404040" w:themeColor="text1" w:themeTint="BF"/>
          <w:sz w:val="24"/>
          <w:szCs w:val="24"/>
        </w:rPr>
        <w:t>The University’s Strategy includes an objective to provide a range of opportunities for students to apply their learning, including the integration of experiential, work-related and entrepreneurial learning in the curriculum.</w:t>
      </w:r>
    </w:p>
    <w:p w14:paraId="28B6B1CE" w14:textId="1E4B3FDD" w:rsidR="002E73FE" w:rsidRPr="009435B4" w:rsidRDefault="002E73FE" w:rsidP="009435B4">
      <w:pPr>
        <w:spacing w:line="360" w:lineRule="auto"/>
        <w:rPr>
          <w:rFonts w:cstheme="minorHAnsi"/>
          <w:color w:val="404040" w:themeColor="text1" w:themeTint="BF"/>
          <w:sz w:val="24"/>
          <w:szCs w:val="24"/>
        </w:rPr>
      </w:pPr>
      <w:r w:rsidRPr="009435B4">
        <w:rPr>
          <w:rFonts w:cstheme="minorHAnsi"/>
          <w:color w:val="404040" w:themeColor="text1" w:themeTint="BF"/>
          <w:sz w:val="24"/>
          <w:szCs w:val="24"/>
        </w:rPr>
        <w:t xml:space="preserve">For more information, including department responsibilities, please refer to the guidance on </w:t>
      </w:r>
      <w:hyperlink r:id="rId13" w:history="1">
        <w:r w:rsidRPr="009435B4">
          <w:rPr>
            <w:rStyle w:val="Hyperlink"/>
            <w:rFonts w:cstheme="minorHAnsi"/>
            <w:sz w:val="24"/>
            <w:szCs w:val="24"/>
          </w:rPr>
          <w:t>professional, statutory and regulatory body recognition</w:t>
        </w:r>
      </w:hyperlink>
      <w:r w:rsidR="001C4324" w:rsidRPr="009435B4">
        <w:rPr>
          <w:rFonts w:cstheme="minorHAnsi"/>
          <w:color w:val="404040" w:themeColor="text1" w:themeTint="BF"/>
          <w:sz w:val="24"/>
          <w:szCs w:val="24"/>
        </w:rPr>
        <w:t xml:space="preserve"> </w:t>
      </w:r>
      <w:r w:rsidRPr="009435B4">
        <w:rPr>
          <w:rFonts w:cstheme="minorHAnsi"/>
          <w:color w:val="404040" w:themeColor="text1" w:themeTint="BF"/>
          <w:sz w:val="24"/>
          <w:szCs w:val="24"/>
        </w:rPr>
        <w:t xml:space="preserve">and on </w:t>
      </w:r>
      <w:hyperlink r:id="rId14" w:history="1">
        <w:r w:rsidRPr="009435B4">
          <w:rPr>
            <w:rStyle w:val="Hyperlink"/>
            <w:rFonts w:cstheme="minorHAnsi"/>
            <w:sz w:val="24"/>
            <w:szCs w:val="24"/>
          </w:rPr>
          <w:t>work-based and placement learning</w:t>
        </w:r>
      </w:hyperlink>
      <w:r w:rsidRPr="009435B4">
        <w:rPr>
          <w:rFonts w:cstheme="minorHAnsi"/>
          <w:color w:val="404040" w:themeColor="text1" w:themeTint="BF"/>
          <w:sz w:val="24"/>
          <w:szCs w:val="24"/>
        </w:rPr>
        <w:t>.</w:t>
      </w:r>
    </w:p>
    <w:p w14:paraId="03CFF01A" w14:textId="77777777" w:rsidR="002E73FE" w:rsidRPr="009435B4" w:rsidRDefault="002E73FE" w:rsidP="009435B4">
      <w:pPr>
        <w:pStyle w:val="Heading1"/>
        <w:spacing w:before="200" w:after="120" w:line="360" w:lineRule="auto"/>
        <w:rPr>
          <w:rFonts w:ascii="Arial Black" w:hAnsi="Arial Black"/>
          <w:color w:val="007A87"/>
        </w:rPr>
      </w:pPr>
      <w:r w:rsidRPr="009435B4">
        <w:rPr>
          <w:rFonts w:ascii="Arial Black" w:hAnsi="Arial Black"/>
          <w:color w:val="007A87"/>
        </w:rPr>
        <w:t>Student consultation</w:t>
      </w:r>
    </w:p>
    <w:p w14:paraId="5B3AB4C4" w14:textId="5B7A3304" w:rsidR="002E73FE" w:rsidRPr="009435B4" w:rsidRDefault="002E73FE" w:rsidP="009435B4">
      <w:pPr>
        <w:spacing w:after="120" w:line="360" w:lineRule="auto"/>
        <w:rPr>
          <w:rFonts w:cstheme="minorHAnsi"/>
          <w:color w:val="404040" w:themeColor="text1" w:themeTint="BF"/>
          <w:sz w:val="24"/>
          <w:szCs w:val="24"/>
        </w:rPr>
      </w:pPr>
      <w:r w:rsidRPr="009435B4">
        <w:rPr>
          <w:rFonts w:cstheme="minorHAnsi"/>
          <w:color w:val="404040" w:themeColor="text1" w:themeTint="BF"/>
          <w:sz w:val="24"/>
          <w:szCs w:val="24"/>
        </w:rPr>
        <w:t xml:space="preserve">Students offer valuable insight into </w:t>
      </w:r>
      <w:r w:rsidR="00E2506E" w:rsidRPr="009435B4">
        <w:rPr>
          <w:rFonts w:cstheme="minorHAnsi"/>
          <w:color w:val="404040" w:themeColor="text1" w:themeTint="BF"/>
          <w:sz w:val="24"/>
          <w:szCs w:val="24"/>
        </w:rPr>
        <w:t>their</w:t>
      </w:r>
      <w:r w:rsidRPr="009435B4">
        <w:rPr>
          <w:rFonts w:cstheme="minorHAnsi"/>
          <w:color w:val="404040" w:themeColor="text1" w:themeTint="BF"/>
          <w:sz w:val="24"/>
          <w:szCs w:val="24"/>
        </w:rPr>
        <w:t xml:space="preserve"> experience and per</w:t>
      </w:r>
      <w:r w:rsidR="00E2506E" w:rsidRPr="009435B4">
        <w:rPr>
          <w:rFonts w:cstheme="minorHAnsi"/>
          <w:color w:val="404040" w:themeColor="text1" w:themeTint="BF"/>
          <w:sz w:val="24"/>
          <w:szCs w:val="24"/>
        </w:rPr>
        <w:t>ception of a course or module.</w:t>
      </w:r>
      <w:r w:rsidR="00F76931" w:rsidRPr="009435B4">
        <w:rPr>
          <w:rFonts w:cstheme="minorHAnsi"/>
          <w:color w:val="404040" w:themeColor="text1" w:themeTint="BF"/>
          <w:sz w:val="24"/>
          <w:szCs w:val="24"/>
        </w:rPr>
        <w:t xml:space="preserve">  </w:t>
      </w:r>
      <w:r w:rsidRPr="009435B4">
        <w:rPr>
          <w:rFonts w:cstheme="minorHAnsi"/>
          <w:color w:val="404040" w:themeColor="text1" w:themeTint="BF"/>
          <w:sz w:val="24"/>
          <w:szCs w:val="24"/>
        </w:rPr>
        <w:t xml:space="preserve">Working in partnership with our students is embedded within the University’s Strategy, which includes objectives for seeking input and ideas from our students, and for supporting staff and students to co-produce relevant, </w:t>
      </w:r>
      <w:proofErr w:type="gramStart"/>
      <w:r w:rsidRPr="009435B4">
        <w:rPr>
          <w:rFonts w:cstheme="minorHAnsi"/>
          <w:color w:val="404040" w:themeColor="text1" w:themeTint="BF"/>
          <w:sz w:val="24"/>
          <w:szCs w:val="24"/>
        </w:rPr>
        <w:t>responsive</w:t>
      </w:r>
      <w:proofErr w:type="gramEnd"/>
      <w:r w:rsidRPr="009435B4">
        <w:rPr>
          <w:rFonts w:cstheme="minorHAnsi"/>
          <w:color w:val="404040" w:themeColor="text1" w:themeTint="BF"/>
          <w:sz w:val="24"/>
          <w:szCs w:val="24"/>
        </w:rPr>
        <w:t xml:space="preserve"> and inclusive curricula and learning opportunities.</w:t>
      </w:r>
    </w:p>
    <w:p w14:paraId="45480FDC" w14:textId="06E45441" w:rsidR="008B6EAD" w:rsidRPr="009435B4" w:rsidRDefault="002E73FE" w:rsidP="009435B4">
      <w:pPr>
        <w:spacing w:line="360" w:lineRule="auto"/>
        <w:rPr>
          <w:rFonts w:cstheme="minorHAnsi"/>
          <w:color w:val="404040" w:themeColor="text1" w:themeTint="BF"/>
          <w:sz w:val="24"/>
          <w:szCs w:val="24"/>
        </w:rPr>
      </w:pPr>
      <w:r w:rsidRPr="009435B4">
        <w:rPr>
          <w:rFonts w:cstheme="minorHAnsi"/>
          <w:color w:val="404040" w:themeColor="text1" w:themeTint="BF"/>
          <w:sz w:val="24"/>
          <w:szCs w:val="24"/>
        </w:rPr>
        <w:t>Wherever possible, and for all category 1 course proposals, departments should provide evidence of student consultation and how this has been responded to.</w:t>
      </w: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6373"/>
      </w:tblGrid>
      <w:tr w:rsidR="00BF7B28" w:rsidRPr="00BF7B28" w14:paraId="7C5D8E03" w14:textId="77777777" w:rsidTr="00DA2414">
        <w:trPr>
          <w:trHeight w:val="289"/>
          <w:jc w:val="center"/>
        </w:trPr>
        <w:tc>
          <w:tcPr>
            <w:tcW w:w="3256" w:type="dxa"/>
            <w:vAlign w:val="center"/>
          </w:tcPr>
          <w:p w14:paraId="4DE89F8A" w14:textId="77777777" w:rsidR="00DA2414" w:rsidRPr="00BF7B28" w:rsidRDefault="00DA2414" w:rsidP="00DA2414">
            <w:pPr>
              <w:spacing w:before="20" w:after="20"/>
              <w:rPr>
                <w:rFonts w:ascii="Arial" w:hAnsi="Arial" w:cs="Arial"/>
                <w:b/>
                <w:szCs w:val="20"/>
              </w:rPr>
            </w:pPr>
            <w:r w:rsidRPr="00BF7B28">
              <w:rPr>
                <w:rFonts w:ascii="Arial" w:hAnsi="Arial" w:cs="Arial"/>
                <w:b/>
                <w:szCs w:val="20"/>
              </w:rPr>
              <w:t>Document owner</w:t>
            </w:r>
          </w:p>
        </w:tc>
        <w:tc>
          <w:tcPr>
            <w:tcW w:w="6373" w:type="dxa"/>
            <w:vAlign w:val="center"/>
          </w:tcPr>
          <w:p w14:paraId="703D57C8" w14:textId="77777777" w:rsidR="00DA2414" w:rsidRPr="00BF7B28" w:rsidRDefault="00DA2414" w:rsidP="00DA2414">
            <w:pPr>
              <w:spacing w:before="20" w:after="20"/>
              <w:rPr>
                <w:rFonts w:ascii="Arial" w:hAnsi="Arial" w:cs="Arial"/>
                <w:szCs w:val="20"/>
              </w:rPr>
            </w:pPr>
            <w:r w:rsidRPr="00BF7B28">
              <w:rPr>
                <w:rFonts w:ascii="Arial" w:hAnsi="Arial" w:cs="Arial"/>
                <w:szCs w:val="20"/>
              </w:rPr>
              <w:t>Quality and Academic Development</w:t>
            </w:r>
          </w:p>
        </w:tc>
      </w:tr>
      <w:tr w:rsidR="00BF7B28" w:rsidRPr="00BF7B28" w14:paraId="7AE1D8D7" w14:textId="77777777" w:rsidTr="00DA2414">
        <w:trPr>
          <w:trHeight w:val="289"/>
          <w:jc w:val="center"/>
        </w:trPr>
        <w:tc>
          <w:tcPr>
            <w:tcW w:w="3256" w:type="dxa"/>
            <w:vAlign w:val="center"/>
          </w:tcPr>
          <w:p w14:paraId="2C1DFAC2" w14:textId="77777777" w:rsidR="00DA2414" w:rsidRPr="00BF7B28" w:rsidRDefault="00DA2414" w:rsidP="00DA2414">
            <w:pPr>
              <w:spacing w:before="20" w:after="20"/>
              <w:rPr>
                <w:rFonts w:ascii="Arial" w:hAnsi="Arial" w:cs="Arial"/>
                <w:b/>
                <w:szCs w:val="20"/>
              </w:rPr>
            </w:pPr>
            <w:r w:rsidRPr="00BF7B28">
              <w:rPr>
                <w:rFonts w:ascii="Arial" w:hAnsi="Arial" w:cs="Arial"/>
                <w:b/>
                <w:szCs w:val="20"/>
              </w:rPr>
              <w:t>Document author</w:t>
            </w:r>
          </w:p>
        </w:tc>
        <w:tc>
          <w:tcPr>
            <w:tcW w:w="6373" w:type="dxa"/>
            <w:vAlign w:val="center"/>
          </w:tcPr>
          <w:p w14:paraId="1529AD16" w14:textId="77777777" w:rsidR="00DA2414" w:rsidRPr="00BF7B28" w:rsidRDefault="00DA2414" w:rsidP="00DA2414">
            <w:pPr>
              <w:spacing w:before="20" w:after="20"/>
              <w:rPr>
                <w:rFonts w:ascii="Arial" w:hAnsi="Arial" w:cs="Arial"/>
                <w:szCs w:val="20"/>
              </w:rPr>
            </w:pPr>
            <w:r w:rsidRPr="00BF7B28">
              <w:rPr>
                <w:rFonts w:ascii="Arial" w:hAnsi="Arial" w:cs="Arial"/>
                <w:szCs w:val="20"/>
              </w:rPr>
              <w:t>Quality and Academic Development</w:t>
            </w:r>
          </w:p>
        </w:tc>
      </w:tr>
      <w:tr w:rsidR="00BF7B28" w:rsidRPr="00BF7B28" w14:paraId="491CA6D4" w14:textId="77777777" w:rsidTr="00DA2414">
        <w:trPr>
          <w:trHeight w:val="289"/>
          <w:jc w:val="center"/>
        </w:trPr>
        <w:tc>
          <w:tcPr>
            <w:tcW w:w="3256" w:type="dxa"/>
            <w:vAlign w:val="center"/>
          </w:tcPr>
          <w:p w14:paraId="4548A49E" w14:textId="77777777" w:rsidR="00DA2414" w:rsidRPr="00BF7B28" w:rsidRDefault="00DA2414" w:rsidP="00DA2414">
            <w:pPr>
              <w:spacing w:before="20" w:after="20"/>
              <w:rPr>
                <w:rFonts w:ascii="Arial" w:hAnsi="Arial" w:cs="Arial"/>
                <w:b/>
                <w:szCs w:val="20"/>
              </w:rPr>
            </w:pPr>
            <w:r w:rsidRPr="00BF7B28">
              <w:rPr>
                <w:rFonts w:ascii="Arial" w:hAnsi="Arial" w:cs="Arial"/>
                <w:b/>
                <w:szCs w:val="20"/>
              </w:rPr>
              <w:t>Document last reviewed by</w:t>
            </w:r>
          </w:p>
        </w:tc>
        <w:tc>
          <w:tcPr>
            <w:tcW w:w="6373" w:type="dxa"/>
            <w:vAlign w:val="center"/>
          </w:tcPr>
          <w:p w14:paraId="0EE02CA0" w14:textId="106F893E" w:rsidR="00DA2414" w:rsidRPr="00BF7B28" w:rsidRDefault="00BF7B28" w:rsidP="00DA2414">
            <w:pPr>
              <w:spacing w:before="20" w:after="20"/>
              <w:rPr>
                <w:rFonts w:ascii="Arial" w:hAnsi="Arial" w:cs="Arial"/>
                <w:szCs w:val="20"/>
              </w:rPr>
            </w:pPr>
            <w:r>
              <w:rPr>
                <w:rFonts w:ascii="Arial" w:hAnsi="Arial" w:cs="Arial"/>
                <w:szCs w:val="20"/>
              </w:rPr>
              <w:t>Aminah Suhail, Quality and Academic Development Manager</w:t>
            </w:r>
          </w:p>
        </w:tc>
      </w:tr>
      <w:tr w:rsidR="00BF7B28" w:rsidRPr="00BF7B28" w14:paraId="3023441B" w14:textId="77777777" w:rsidTr="00DA2414">
        <w:trPr>
          <w:trHeight w:val="289"/>
          <w:jc w:val="center"/>
        </w:trPr>
        <w:tc>
          <w:tcPr>
            <w:tcW w:w="3256" w:type="dxa"/>
            <w:vAlign w:val="center"/>
          </w:tcPr>
          <w:p w14:paraId="6B38EF66" w14:textId="77777777" w:rsidR="00DA2414" w:rsidRPr="00BF7B28" w:rsidRDefault="00DA2414" w:rsidP="00DA2414">
            <w:pPr>
              <w:spacing w:before="20" w:after="20"/>
              <w:rPr>
                <w:rFonts w:ascii="Arial" w:hAnsi="Arial" w:cs="Arial"/>
                <w:b/>
                <w:szCs w:val="20"/>
              </w:rPr>
            </w:pPr>
            <w:r w:rsidRPr="00BF7B28">
              <w:rPr>
                <w:rFonts w:ascii="Arial" w:hAnsi="Arial" w:cs="Arial"/>
                <w:b/>
                <w:szCs w:val="20"/>
              </w:rPr>
              <w:t>Date last reviewed</w:t>
            </w:r>
          </w:p>
        </w:tc>
        <w:tc>
          <w:tcPr>
            <w:tcW w:w="6373" w:type="dxa"/>
            <w:vAlign w:val="center"/>
          </w:tcPr>
          <w:p w14:paraId="02451AD6" w14:textId="366FD7C7" w:rsidR="00DA2414" w:rsidRPr="00BF7B28" w:rsidRDefault="00C61FFC" w:rsidP="00DA2414">
            <w:pPr>
              <w:spacing w:before="20" w:after="20"/>
              <w:rPr>
                <w:rFonts w:ascii="Arial" w:hAnsi="Arial" w:cs="Arial"/>
                <w:szCs w:val="20"/>
              </w:rPr>
            </w:pPr>
            <w:r>
              <w:rPr>
                <w:rFonts w:ascii="Arial" w:hAnsi="Arial" w:cs="Arial"/>
                <w:szCs w:val="20"/>
              </w:rPr>
              <w:t>August 2024</w:t>
            </w:r>
          </w:p>
        </w:tc>
      </w:tr>
      <w:tr w:rsidR="00BF7B28" w:rsidRPr="00BF7B28" w14:paraId="27E16ADE" w14:textId="77777777" w:rsidTr="00DA2414">
        <w:trPr>
          <w:trHeight w:val="289"/>
          <w:jc w:val="center"/>
        </w:trPr>
        <w:tc>
          <w:tcPr>
            <w:tcW w:w="3256" w:type="dxa"/>
            <w:vAlign w:val="center"/>
          </w:tcPr>
          <w:p w14:paraId="53F89AC6" w14:textId="77777777" w:rsidR="00DA2414" w:rsidRPr="00BF7B28" w:rsidRDefault="00DA2414" w:rsidP="00DA2414">
            <w:pPr>
              <w:spacing w:before="20" w:after="20"/>
              <w:rPr>
                <w:rFonts w:ascii="Arial" w:hAnsi="Arial" w:cs="Arial"/>
                <w:b/>
                <w:szCs w:val="20"/>
              </w:rPr>
            </w:pPr>
            <w:r w:rsidRPr="00BF7B28">
              <w:rPr>
                <w:rFonts w:ascii="Arial" w:hAnsi="Arial" w:cs="Arial"/>
                <w:b/>
                <w:szCs w:val="20"/>
              </w:rPr>
              <w:t>Review frequency</w:t>
            </w:r>
          </w:p>
        </w:tc>
        <w:tc>
          <w:tcPr>
            <w:tcW w:w="6373" w:type="dxa"/>
            <w:vAlign w:val="center"/>
          </w:tcPr>
          <w:p w14:paraId="03567C0B" w14:textId="77777777" w:rsidR="00DA2414" w:rsidRPr="00BF7B28" w:rsidRDefault="00DA2414" w:rsidP="00DA2414">
            <w:pPr>
              <w:spacing w:before="20" w:after="20"/>
              <w:rPr>
                <w:rFonts w:ascii="Arial" w:hAnsi="Arial" w:cs="Arial"/>
                <w:szCs w:val="20"/>
              </w:rPr>
            </w:pPr>
            <w:r w:rsidRPr="00BF7B28">
              <w:rPr>
                <w:rFonts w:ascii="Arial" w:hAnsi="Arial" w:cs="Arial"/>
                <w:szCs w:val="20"/>
              </w:rPr>
              <w:t>Annually</w:t>
            </w:r>
          </w:p>
        </w:tc>
      </w:tr>
    </w:tbl>
    <w:p w14:paraId="0DCD9B52" w14:textId="77777777" w:rsidR="00DA2414" w:rsidRPr="00DA726F" w:rsidRDefault="00DA2414" w:rsidP="00DA2414">
      <w:pPr>
        <w:spacing w:before="80" w:after="80"/>
        <w:ind w:right="567"/>
        <w:outlineLvl w:val="0"/>
        <w:rPr>
          <w:rFonts w:eastAsia="Times New Roman"/>
          <w:bCs/>
          <w:color w:val="404040" w:themeColor="text1" w:themeTint="BF"/>
          <w:sz w:val="22"/>
        </w:rPr>
      </w:pPr>
    </w:p>
    <w:sectPr w:rsidR="00DA2414" w:rsidRPr="00DA726F" w:rsidSect="00DA2414">
      <w:pgSz w:w="11906" w:h="16838"/>
      <w:pgMar w:top="720" w:right="720" w:bottom="567" w:left="720" w:header="708" w:footer="708"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A0A2" w14:textId="77777777" w:rsidR="00000D3F" w:rsidRDefault="00000D3F" w:rsidP="00B22B5D">
      <w:pPr>
        <w:spacing w:after="0"/>
      </w:pPr>
      <w:r>
        <w:separator/>
      </w:r>
    </w:p>
  </w:endnote>
  <w:endnote w:type="continuationSeparator" w:id="0">
    <w:p w14:paraId="67B71545" w14:textId="77777777" w:rsidR="00000D3F" w:rsidRDefault="00000D3F" w:rsidP="00B22B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3D37E" w14:textId="77777777" w:rsidR="00000D3F" w:rsidRDefault="00000D3F" w:rsidP="00B22B5D">
      <w:pPr>
        <w:spacing w:after="0"/>
      </w:pPr>
      <w:r>
        <w:separator/>
      </w:r>
    </w:p>
  </w:footnote>
  <w:footnote w:type="continuationSeparator" w:id="0">
    <w:p w14:paraId="623AE85C" w14:textId="77777777" w:rsidR="00000D3F" w:rsidRDefault="00000D3F" w:rsidP="00B22B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B18"/>
    <w:multiLevelType w:val="hybridMultilevel"/>
    <w:tmpl w:val="9DA0A9FA"/>
    <w:lvl w:ilvl="0" w:tplc="7318F4C0">
      <w:start w:val="1"/>
      <w:numFmt w:val="bullet"/>
      <w:lvlText w:val=""/>
      <w:lvlJc w:val="left"/>
      <w:pPr>
        <w:ind w:left="1174" w:hanging="360"/>
      </w:pPr>
      <w:rPr>
        <w:rFonts w:ascii="Wingdings" w:hAnsi="Wingdings" w:hint="default"/>
        <w:b w:val="0"/>
        <w:i w:val="0"/>
        <w:color w:val="007A87"/>
        <w:spacing w:val="0"/>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15:restartNumberingAfterBreak="0">
    <w:nsid w:val="1035014F"/>
    <w:multiLevelType w:val="hybridMultilevel"/>
    <w:tmpl w:val="AFCE0F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557F37"/>
    <w:multiLevelType w:val="hybridMultilevel"/>
    <w:tmpl w:val="46A0E4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B632FB"/>
    <w:multiLevelType w:val="multilevel"/>
    <w:tmpl w:val="E644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0D420D"/>
    <w:multiLevelType w:val="hybridMultilevel"/>
    <w:tmpl w:val="988C9E98"/>
    <w:lvl w:ilvl="0" w:tplc="D85CF5E0">
      <w:start w:val="1"/>
      <w:numFmt w:val="bullet"/>
      <w:lvlText w:val=""/>
      <w:lvlJc w:val="left"/>
      <w:pPr>
        <w:ind w:left="360" w:hanging="360"/>
      </w:pPr>
      <w:rPr>
        <w:rFonts w:ascii="Wingdings" w:hAnsi="Wingdings" w:hint="default"/>
        <w:b w:val="0"/>
        <w:i w:val="0"/>
        <w:color w:val="007A87"/>
        <w:sz w:val="16"/>
        <w:szCs w:val="16"/>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6BB25E6A"/>
    <w:multiLevelType w:val="hybridMultilevel"/>
    <w:tmpl w:val="AB06B0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57136C"/>
    <w:multiLevelType w:val="hybridMultilevel"/>
    <w:tmpl w:val="8988AE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0DF6B46"/>
    <w:multiLevelType w:val="hybridMultilevel"/>
    <w:tmpl w:val="FB2A0334"/>
    <w:lvl w:ilvl="0" w:tplc="4150F93C">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467D16"/>
    <w:multiLevelType w:val="multilevel"/>
    <w:tmpl w:val="0866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3839894">
    <w:abstractNumId w:val="7"/>
  </w:num>
  <w:num w:numId="2" w16cid:durableId="1513035670">
    <w:abstractNumId w:val="0"/>
  </w:num>
  <w:num w:numId="3" w16cid:durableId="17055941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1783743">
    <w:abstractNumId w:val="6"/>
  </w:num>
  <w:num w:numId="5" w16cid:durableId="1321155460">
    <w:abstractNumId w:val="3"/>
  </w:num>
  <w:num w:numId="6" w16cid:durableId="1991130894">
    <w:abstractNumId w:val="7"/>
  </w:num>
  <w:num w:numId="7" w16cid:durableId="914050901">
    <w:abstractNumId w:val="8"/>
  </w:num>
  <w:num w:numId="8" w16cid:durableId="336855539">
    <w:abstractNumId w:val="5"/>
  </w:num>
  <w:num w:numId="9" w16cid:durableId="381058249">
    <w:abstractNumId w:val="7"/>
  </w:num>
  <w:num w:numId="10" w16cid:durableId="376660442">
    <w:abstractNumId w:val="7"/>
  </w:num>
  <w:num w:numId="11" w16cid:durableId="1862891385">
    <w:abstractNumId w:val="7"/>
  </w:num>
  <w:num w:numId="12" w16cid:durableId="846210182">
    <w:abstractNumId w:val="1"/>
  </w:num>
  <w:num w:numId="13" w16cid:durableId="600525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6D"/>
    <w:rsid w:val="00000D3F"/>
    <w:rsid w:val="00052658"/>
    <w:rsid w:val="00077443"/>
    <w:rsid w:val="00137974"/>
    <w:rsid w:val="0019595F"/>
    <w:rsid w:val="001959BE"/>
    <w:rsid w:val="001B54BA"/>
    <w:rsid w:val="001C4324"/>
    <w:rsid w:val="002406C7"/>
    <w:rsid w:val="002477BE"/>
    <w:rsid w:val="00260E32"/>
    <w:rsid w:val="002B54A3"/>
    <w:rsid w:val="002C1FCD"/>
    <w:rsid w:val="002C4C21"/>
    <w:rsid w:val="002C7A83"/>
    <w:rsid w:val="002E73FE"/>
    <w:rsid w:val="00380DCB"/>
    <w:rsid w:val="00386A75"/>
    <w:rsid w:val="00390255"/>
    <w:rsid w:val="003A74A2"/>
    <w:rsid w:val="003B42E4"/>
    <w:rsid w:val="003B49D0"/>
    <w:rsid w:val="003C3516"/>
    <w:rsid w:val="00425CE9"/>
    <w:rsid w:val="0042790A"/>
    <w:rsid w:val="00427B52"/>
    <w:rsid w:val="004924A0"/>
    <w:rsid w:val="004A26F9"/>
    <w:rsid w:val="004C3312"/>
    <w:rsid w:val="00570260"/>
    <w:rsid w:val="005904F8"/>
    <w:rsid w:val="00596CFA"/>
    <w:rsid w:val="005B486D"/>
    <w:rsid w:val="005F0DBC"/>
    <w:rsid w:val="00636D0A"/>
    <w:rsid w:val="00641C83"/>
    <w:rsid w:val="00674A62"/>
    <w:rsid w:val="006B7F72"/>
    <w:rsid w:val="006F3076"/>
    <w:rsid w:val="0071592A"/>
    <w:rsid w:val="007346CF"/>
    <w:rsid w:val="00745B8F"/>
    <w:rsid w:val="00747F14"/>
    <w:rsid w:val="00820011"/>
    <w:rsid w:val="00856E2F"/>
    <w:rsid w:val="00860883"/>
    <w:rsid w:val="00865C70"/>
    <w:rsid w:val="008B01DB"/>
    <w:rsid w:val="008B098A"/>
    <w:rsid w:val="008B6EAD"/>
    <w:rsid w:val="009034BE"/>
    <w:rsid w:val="009435B4"/>
    <w:rsid w:val="009640A4"/>
    <w:rsid w:val="009C5CF7"/>
    <w:rsid w:val="009F6EAA"/>
    <w:rsid w:val="00A16022"/>
    <w:rsid w:val="00A270BD"/>
    <w:rsid w:val="00A779C7"/>
    <w:rsid w:val="00A971FF"/>
    <w:rsid w:val="00AB4CCC"/>
    <w:rsid w:val="00AB5F6B"/>
    <w:rsid w:val="00AC4F0C"/>
    <w:rsid w:val="00B16FEC"/>
    <w:rsid w:val="00B22B5D"/>
    <w:rsid w:val="00B8045F"/>
    <w:rsid w:val="00B8237B"/>
    <w:rsid w:val="00BB3674"/>
    <w:rsid w:val="00BE4BED"/>
    <w:rsid w:val="00BF7B28"/>
    <w:rsid w:val="00C61FFC"/>
    <w:rsid w:val="00C83908"/>
    <w:rsid w:val="00CB558E"/>
    <w:rsid w:val="00CF795F"/>
    <w:rsid w:val="00D06199"/>
    <w:rsid w:val="00D600F4"/>
    <w:rsid w:val="00DA2414"/>
    <w:rsid w:val="00DA726F"/>
    <w:rsid w:val="00E2506E"/>
    <w:rsid w:val="00E4041D"/>
    <w:rsid w:val="00E71139"/>
    <w:rsid w:val="00E75B00"/>
    <w:rsid w:val="00EE6D7C"/>
    <w:rsid w:val="00F76931"/>
    <w:rsid w:val="00F77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4A2C"/>
  <w15:docId w15:val="{47267439-812A-458F-9B74-2A832445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37B"/>
    <w:pPr>
      <w:spacing w:after="240" w:line="240" w:lineRule="auto"/>
    </w:pPr>
    <w:rPr>
      <w:sz w:val="20"/>
    </w:rPr>
  </w:style>
  <w:style w:type="paragraph" w:styleId="Heading1">
    <w:name w:val="heading 1"/>
    <w:basedOn w:val="Normal"/>
    <w:next w:val="Normal"/>
    <w:link w:val="Heading1Char"/>
    <w:uiPriority w:val="9"/>
    <w:qFormat/>
    <w:rsid w:val="005B486D"/>
    <w:pPr>
      <w:keepNext/>
      <w:keepLines/>
      <w:spacing w:before="240"/>
      <w:outlineLvl w:val="0"/>
    </w:pPr>
    <w:rPr>
      <w:rFonts w:eastAsiaTheme="majorEastAsia" w:cstheme="minorHAnsi"/>
      <w:b/>
      <w:bCs/>
      <w:color w:val="A90061"/>
      <w:sz w:val="32"/>
      <w:szCs w:val="32"/>
    </w:rPr>
  </w:style>
  <w:style w:type="paragraph" w:styleId="Heading2">
    <w:name w:val="heading 2"/>
    <w:basedOn w:val="Normal"/>
    <w:next w:val="Normal"/>
    <w:link w:val="Heading2Char"/>
    <w:uiPriority w:val="9"/>
    <w:unhideWhenUsed/>
    <w:qFormat/>
    <w:rsid w:val="005B486D"/>
    <w:pPr>
      <w:keepNext/>
      <w:keepLines/>
      <w:spacing w:before="200"/>
      <w:outlineLvl w:val="1"/>
    </w:pPr>
    <w:rPr>
      <w:rFonts w:ascii="Arial" w:eastAsiaTheme="majorEastAsia" w:hAnsi="Arial" w:cs="Arial"/>
      <w:b/>
      <w:bCs/>
      <w:color w:val="A90061"/>
      <w:sz w:val="24"/>
      <w:szCs w:val="24"/>
    </w:rPr>
  </w:style>
  <w:style w:type="paragraph" w:styleId="Heading3">
    <w:name w:val="heading 3"/>
    <w:basedOn w:val="Normal"/>
    <w:next w:val="Normal"/>
    <w:link w:val="Heading3Char"/>
    <w:uiPriority w:val="9"/>
    <w:unhideWhenUsed/>
    <w:qFormat/>
    <w:rsid w:val="009F6EAA"/>
    <w:pPr>
      <w:keepNext/>
      <w:keepLines/>
      <w:spacing w:before="200"/>
      <w:outlineLvl w:val="2"/>
    </w:pPr>
    <w:rPr>
      <w:rFonts w:eastAsiaTheme="majorEastAsia" w:cstheme="minorHAnsi"/>
      <w:b/>
      <w:bCs/>
      <w:color w:val="A90061"/>
      <w:sz w:val="22"/>
    </w:rPr>
  </w:style>
  <w:style w:type="paragraph" w:styleId="Heading4">
    <w:name w:val="heading 4"/>
    <w:basedOn w:val="Normal"/>
    <w:next w:val="Normal"/>
    <w:link w:val="Heading4Char"/>
    <w:uiPriority w:val="9"/>
    <w:unhideWhenUsed/>
    <w:qFormat/>
    <w:rsid w:val="009F6EAA"/>
    <w:pPr>
      <w:keepNext/>
      <w:keepLines/>
      <w:spacing w:before="200"/>
      <w:outlineLvl w:val="3"/>
    </w:pPr>
    <w:rPr>
      <w:rFonts w:eastAsiaTheme="majorEastAsia" w:cstheme="minorHAnsi"/>
      <w:b/>
      <w:bCs/>
      <w:i/>
      <w:iCs/>
      <w:color w:val="A90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86D"/>
    <w:rPr>
      <w:rFonts w:eastAsiaTheme="majorEastAsia" w:cstheme="minorHAnsi"/>
      <w:b/>
      <w:bCs/>
      <w:color w:val="A90061"/>
      <w:sz w:val="32"/>
      <w:szCs w:val="32"/>
    </w:rPr>
  </w:style>
  <w:style w:type="character" w:customStyle="1" w:styleId="Heading2Char">
    <w:name w:val="Heading 2 Char"/>
    <w:basedOn w:val="DefaultParagraphFont"/>
    <w:link w:val="Heading2"/>
    <w:uiPriority w:val="9"/>
    <w:rsid w:val="005B486D"/>
    <w:rPr>
      <w:rFonts w:ascii="Arial" w:eastAsiaTheme="majorEastAsia" w:hAnsi="Arial" w:cs="Arial"/>
      <w:b/>
      <w:bCs/>
      <w:color w:val="A90061"/>
      <w:sz w:val="24"/>
      <w:szCs w:val="24"/>
    </w:rPr>
  </w:style>
  <w:style w:type="character" w:customStyle="1" w:styleId="Heading3Char">
    <w:name w:val="Heading 3 Char"/>
    <w:basedOn w:val="DefaultParagraphFont"/>
    <w:link w:val="Heading3"/>
    <w:uiPriority w:val="9"/>
    <w:rsid w:val="009F6EAA"/>
    <w:rPr>
      <w:rFonts w:eastAsiaTheme="majorEastAsia" w:cstheme="minorHAnsi"/>
      <w:b/>
      <w:bCs/>
      <w:color w:val="A90061"/>
    </w:rPr>
  </w:style>
  <w:style w:type="character" w:customStyle="1" w:styleId="Heading4Char">
    <w:name w:val="Heading 4 Char"/>
    <w:basedOn w:val="DefaultParagraphFont"/>
    <w:link w:val="Heading4"/>
    <w:uiPriority w:val="9"/>
    <w:rsid w:val="009F6EAA"/>
    <w:rPr>
      <w:rFonts w:eastAsiaTheme="majorEastAsia" w:cstheme="minorHAnsi"/>
      <w:b/>
      <w:bCs/>
      <w:i/>
      <w:iCs/>
      <w:color w:val="A90061"/>
      <w:sz w:val="20"/>
    </w:rPr>
  </w:style>
  <w:style w:type="character" w:styleId="Emphasis">
    <w:name w:val="Emphasis"/>
    <w:basedOn w:val="DefaultParagraphFont"/>
    <w:uiPriority w:val="20"/>
    <w:qFormat/>
    <w:rsid w:val="00B8237B"/>
    <w:rPr>
      <w:i/>
      <w:iCs/>
    </w:rPr>
  </w:style>
  <w:style w:type="paragraph" w:styleId="NoSpacing">
    <w:name w:val="No Spacing"/>
    <w:basedOn w:val="Normal"/>
    <w:uiPriority w:val="1"/>
    <w:qFormat/>
    <w:rsid w:val="00B8237B"/>
    <w:pPr>
      <w:spacing w:after="0"/>
    </w:pPr>
  </w:style>
  <w:style w:type="paragraph" w:styleId="ListParagraph">
    <w:name w:val="List Paragraph"/>
    <w:basedOn w:val="Normal"/>
    <w:uiPriority w:val="34"/>
    <w:qFormat/>
    <w:rsid w:val="00B8237B"/>
    <w:pPr>
      <w:contextualSpacing/>
    </w:pPr>
  </w:style>
  <w:style w:type="table" w:styleId="TableGrid">
    <w:name w:val="Table Grid"/>
    <w:basedOn w:val="TableNormal"/>
    <w:uiPriority w:val="59"/>
    <w:rsid w:val="005B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8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86D"/>
    <w:rPr>
      <w:rFonts w:ascii="Tahoma" w:hAnsi="Tahoma" w:cs="Tahoma"/>
      <w:sz w:val="16"/>
      <w:szCs w:val="16"/>
    </w:rPr>
  </w:style>
  <w:style w:type="character" w:styleId="Hyperlink">
    <w:name w:val="Hyperlink"/>
    <w:basedOn w:val="DefaultParagraphFont"/>
    <w:uiPriority w:val="99"/>
    <w:unhideWhenUsed/>
    <w:rsid w:val="00390255"/>
    <w:rPr>
      <w:color w:val="0000FF"/>
      <w:u w:val="single"/>
    </w:rPr>
  </w:style>
  <w:style w:type="table" w:styleId="GridTable5Dark-Accent6">
    <w:name w:val="Grid Table 5 Dark Accent 6"/>
    <w:basedOn w:val="TableNormal"/>
    <w:uiPriority w:val="50"/>
    <w:rsid w:val="00260E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Header">
    <w:name w:val="header"/>
    <w:basedOn w:val="Normal"/>
    <w:link w:val="HeaderChar"/>
    <w:uiPriority w:val="99"/>
    <w:unhideWhenUsed/>
    <w:rsid w:val="00B22B5D"/>
    <w:pPr>
      <w:tabs>
        <w:tab w:val="center" w:pos="4513"/>
        <w:tab w:val="right" w:pos="9026"/>
      </w:tabs>
      <w:spacing w:after="0"/>
    </w:pPr>
  </w:style>
  <w:style w:type="character" w:customStyle="1" w:styleId="HeaderChar">
    <w:name w:val="Header Char"/>
    <w:basedOn w:val="DefaultParagraphFont"/>
    <w:link w:val="Header"/>
    <w:uiPriority w:val="99"/>
    <w:rsid w:val="00B22B5D"/>
    <w:rPr>
      <w:sz w:val="20"/>
    </w:rPr>
  </w:style>
  <w:style w:type="paragraph" w:styleId="Footer">
    <w:name w:val="footer"/>
    <w:basedOn w:val="Normal"/>
    <w:link w:val="FooterChar"/>
    <w:uiPriority w:val="99"/>
    <w:unhideWhenUsed/>
    <w:rsid w:val="00B22B5D"/>
    <w:pPr>
      <w:tabs>
        <w:tab w:val="center" w:pos="4513"/>
        <w:tab w:val="right" w:pos="9026"/>
      </w:tabs>
      <w:spacing w:after="0"/>
    </w:pPr>
  </w:style>
  <w:style w:type="character" w:customStyle="1" w:styleId="FooterChar">
    <w:name w:val="Footer Char"/>
    <w:basedOn w:val="DefaultParagraphFont"/>
    <w:link w:val="Footer"/>
    <w:uiPriority w:val="99"/>
    <w:rsid w:val="00B22B5D"/>
    <w:rPr>
      <w:sz w:val="20"/>
    </w:rPr>
  </w:style>
  <w:style w:type="character" w:styleId="FollowedHyperlink">
    <w:name w:val="FollowedHyperlink"/>
    <w:basedOn w:val="DefaultParagraphFont"/>
    <w:uiPriority w:val="99"/>
    <w:semiHidden/>
    <w:unhideWhenUsed/>
    <w:rsid w:val="00E4041D"/>
    <w:rPr>
      <w:color w:val="800080" w:themeColor="followedHyperlink"/>
      <w:u w:val="single"/>
    </w:rPr>
  </w:style>
  <w:style w:type="character" w:styleId="CommentReference">
    <w:name w:val="annotation reference"/>
    <w:basedOn w:val="DefaultParagraphFont"/>
    <w:uiPriority w:val="99"/>
    <w:semiHidden/>
    <w:unhideWhenUsed/>
    <w:rsid w:val="002E73FE"/>
    <w:rPr>
      <w:sz w:val="16"/>
      <w:szCs w:val="16"/>
    </w:rPr>
  </w:style>
  <w:style w:type="paragraph" w:styleId="CommentText">
    <w:name w:val="annotation text"/>
    <w:basedOn w:val="Normal"/>
    <w:link w:val="CommentTextChar"/>
    <w:uiPriority w:val="99"/>
    <w:semiHidden/>
    <w:unhideWhenUsed/>
    <w:rsid w:val="002E73FE"/>
    <w:pPr>
      <w:spacing w:after="200"/>
    </w:pPr>
    <w:rPr>
      <w:szCs w:val="20"/>
    </w:rPr>
  </w:style>
  <w:style w:type="character" w:customStyle="1" w:styleId="CommentTextChar">
    <w:name w:val="Comment Text Char"/>
    <w:basedOn w:val="DefaultParagraphFont"/>
    <w:link w:val="CommentText"/>
    <w:uiPriority w:val="99"/>
    <w:semiHidden/>
    <w:rsid w:val="002E73FE"/>
    <w:rPr>
      <w:sz w:val="20"/>
      <w:szCs w:val="20"/>
    </w:rPr>
  </w:style>
  <w:style w:type="paragraph" w:styleId="CommentSubject">
    <w:name w:val="annotation subject"/>
    <w:basedOn w:val="CommentText"/>
    <w:next w:val="CommentText"/>
    <w:link w:val="CommentSubjectChar"/>
    <w:uiPriority w:val="99"/>
    <w:semiHidden/>
    <w:unhideWhenUsed/>
    <w:rsid w:val="002E73FE"/>
    <w:pPr>
      <w:spacing w:after="240"/>
    </w:pPr>
    <w:rPr>
      <w:b/>
      <w:bCs/>
    </w:rPr>
  </w:style>
  <w:style w:type="character" w:customStyle="1" w:styleId="CommentSubjectChar">
    <w:name w:val="Comment Subject Char"/>
    <w:basedOn w:val="CommentTextChar"/>
    <w:link w:val="CommentSubject"/>
    <w:uiPriority w:val="99"/>
    <w:semiHidden/>
    <w:rsid w:val="002E73FE"/>
    <w:rPr>
      <w:b/>
      <w:bCs/>
      <w:sz w:val="20"/>
      <w:szCs w:val="20"/>
    </w:rPr>
  </w:style>
  <w:style w:type="character" w:styleId="UnresolvedMention">
    <w:name w:val="Unresolved Mention"/>
    <w:basedOn w:val="DefaultParagraphFont"/>
    <w:uiPriority w:val="99"/>
    <w:semiHidden/>
    <w:unhideWhenUsed/>
    <w:rsid w:val="00A97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1.essex.ac.uk/quality/monitoring_and_review/psrbs.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essex.ac.uk/quality/Reports_and_proformas/default.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essex.ac.uk/quality/external_examiners/criteria_for_nomination.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ssex.ac.uk/staff/academic-standards-and-quality/external-examiner-roles-and-responsibilities" TargetMode="External"/><Relationship Id="rId4" Type="http://schemas.openxmlformats.org/officeDocument/2006/relationships/settings" Target="settings.xml"/><Relationship Id="rId9" Type="http://schemas.openxmlformats.org/officeDocument/2006/relationships/hyperlink" Target="https://www.essex.ac.uk/-/media/documents/directories/academic-section/academic-standards-and-quality/course-approval-process-overview.pdf" TargetMode="External"/><Relationship Id="rId14" Type="http://schemas.openxmlformats.org/officeDocument/2006/relationships/hyperlink" Target="https://www1.essex.ac.uk/quality/university_policies/WBL.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use style">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44F518B-FFEA-4D9C-A1A5-697EC3D5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External input course developments</vt:lpstr>
    </vt:vector>
  </TitlesOfParts>
  <Company>University of Essex</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input course developments</dc:title>
  <dc:creator>QUAD</dc:creator>
  <cp:keywords>External consultation;external input;course development;new courses</cp:keywords>
  <cp:lastModifiedBy>Nash, Luke T W</cp:lastModifiedBy>
  <cp:revision>10</cp:revision>
  <cp:lastPrinted>2024-09-04T11:33:00Z</cp:lastPrinted>
  <dcterms:created xsi:type="dcterms:W3CDTF">2023-10-19T11:51:00Z</dcterms:created>
  <dcterms:modified xsi:type="dcterms:W3CDTF">2024-09-04T11:33:00Z</dcterms:modified>
</cp:coreProperties>
</file>