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937"/>
        <w:gridCol w:w="2529"/>
      </w:tblGrid>
      <w:tr w:rsidR="005B486D" w:rsidRPr="00BB3674" w14:paraId="2D2E514D" w14:textId="77777777" w:rsidTr="00B617E2">
        <w:trPr>
          <w:trHeight w:hRule="exact" w:val="1567"/>
        </w:trPr>
        <w:tc>
          <w:tcPr>
            <w:tcW w:w="3792" w:type="pct"/>
            <w:tcBorders>
              <w:top w:val="nil"/>
              <w:left w:val="nil"/>
              <w:bottom w:val="nil"/>
              <w:right w:val="nil"/>
            </w:tcBorders>
            <w:shd w:val="clear" w:color="auto" w:fill="007A87"/>
            <w:vAlign w:val="center"/>
          </w:tcPr>
          <w:p w14:paraId="4C93AF48" w14:textId="363342F8" w:rsidR="005B486D" w:rsidRPr="00B617E2" w:rsidRDefault="001B55FC" w:rsidP="001B55FC">
            <w:pPr>
              <w:spacing w:after="0"/>
              <w:rPr>
                <w:rFonts w:ascii="Arial Black" w:hAnsi="Arial Black" w:cstheme="majorHAnsi"/>
                <w:color w:val="FFFFFF" w:themeColor="background1"/>
                <w:sz w:val="72"/>
                <w:szCs w:val="72"/>
              </w:rPr>
            </w:pPr>
            <w:r w:rsidRPr="00B617E2">
              <w:rPr>
                <w:rFonts w:ascii="Arial Black" w:hAnsi="Arial Black" w:cstheme="majorHAnsi"/>
                <w:color w:val="FFFFFF" w:themeColor="background1"/>
                <w:sz w:val="56"/>
                <w:szCs w:val="56"/>
              </w:rPr>
              <w:t xml:space="preserve">Course </w:t>
            </w:r>
            <w:r w:rsidR="009B702B" w:rsidRPr="00B617E2">
              <w:rPr>
                <w:rFonts w:ascii="Arial Black" w:hAnsi="Arial Black" w:cstheme="majorHAnsi"/>
                <w:color w:val="FFFFFF" w:themeColor="background1"/>
                <w:sz w:val="56"/>
                <w:szCs w:val="56"/>
              </w:rPr>
              <w:t xml:space="preserve">and module </w:t>
            </w:r>
            <w:r w:rsidRPr="00B617E2">
              <w:rPr>
                <w:rFonts w:ascii="Arial Black" w:hAnsi="Arial Black" w:cstheme="majorHAnsi"/>
                <w:color w:val="FFFFFF" w:themeColor="background1"/>
                <w:sz w:val="56"/>
                <w:szCs w:val="56"/>
              </w:rPr>
              <w:t>design</w:t>
            </w:r>
          </w:p>
        </w:tc>
        <w:tc>
          <w:tcPr>
            <w:tcW w:w="1208" w:type="pct"/>
            <w:tcBorders>
              <w:top w:val="nil"/>
              <w:left w:val="nil"/>
              <w:bottom w:val="nil"/>
              <w:right w:val="nil"/>
            </w:tcBorders>
            <w:shd w:val="clear" w:color="auto" w:fill="007A87"/>
          </w:tcPr>
          <w:p w14:paraId="58B830A0" w14:textId="77777777" w:rsidR="005B486D" w:rsidRPr="00BB3674" w:rsidRDefault="005B486D" w:rsidP="00BB3674">
            <w:pPr>
              <w:spacing w:before="120" w:after="120"/>
              <w:jc w:val="right"/>
              <w:rPr>
                <w:sz w:val="80"/>
                <w:szCs w:val="80"/>
              </w:rPr>
            </w:pPr>
            <w:r w:rsidRPr="00BB3674">
              <w:rPr>
                <w:noProof/>
                <w:sz w:val="80"/>
                <w:szCs w:val="80"/>
                <w:lang w:eastAsia="en-GB"/>
              </w:rPr>
              <w:drawing>
                <wp:inline distT="0" distB="0" distL="0" distR="0" wp14:anchorId="2F237798" wp14:editId="40D3045E">
                  <wp:extent cx="1192538" cy="1250302"/>
                  <wp:effectExtent l="0" t="0" r="7620" b="762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196931" cy="1254907"/>
                          </a:xfrm>
                          <a:prstGeom prst="rect">
                            <a:avLst/>
                          </a:prstGeom>
                        </pic:spPr>
                      </pic:pic>
                    </a:graphicData>
                  </a:graphic>
                </wp:inline>
              </w:drawing>
            </w:r>
          </w:p>
        </w:tc>
      </w:tr>
      <w:tr w:rsidR="005B486D" w14:paraId="2C93E559" w14:textId="77777777" w:rsidTr="008B098A">
        <w:trPr>
          <w:cantSplit/>
          <w:trHeight w:hRule="exact" w:val="170"/>
        </w:trPr>
        <w:tc>
          <w:tcPr>
            <w:tcW w:w="5000" w:type="pct"/>
            <w:gridSpan w:val="2"/>
            <w:tcBorders>
              <w:top w:val="nil"/>
              <w:left w:val="nil"/>
              <w:bottom w:val="nil"/>
              <w:right w:val="nil"/>
            </w:tcBorders>
          </w:tcPr>
          <w:p w14:paraId="64F1D561" w14:textId="77777777" w:rsidR="005B486D" w:rsidRDefault="005B486D"/>
        </w:tc>
      </w:tr>
      <w:tr w:rsidR="005B486D" w:rsidRPr="00C421BD" w14:paraId="5EA7EC08" w14:textId="77777777" w:rsidTr="00B617E2">
        <w:trPr>
          <w:trHeight w:hRule="exact" w:val="567"/>
        </w:trPr>
        <w:tc>
          <w:tcPr>
            <w:tcW w:w="5000" w:type="pct"/>
            <w:gridSpan w:val="2"/>
            <w:tcBorders>
              <w:top w:val="nil"/>
              <w:left w:val="nil"/>
              <w:bottom w:val="nil"/>
              <w:right w:val="nil"/>
            </w:tcBorders>
            <w:shd w:val="clear" w:color="auto" w:fill="007A87"/>
            <w:vAlign w:val="center"/>
          </w:tcPr>
          <w:p w14:paraId="40D24B84" w14:textId="2C82AEC6" w:rsidR="005B486D" w:rsidRPr="00D60F5B" w:rsidRDefault="001752B0" w:rsidP="001752B0">
            <w:pPr>
              <w:spacing w:after="0"/>
              <w:rPr>
                <w:rFonts w:ascii="Arial Black" w:hAnsi="Arial Black" w:cs="Arial"/>
                <w:b/>
                <w:color w:val="404040" w:themeColor="text1" w:themeTint="BF"/>
                <w:sz w:val="36"/>
                <w:szCs w:val="36"/>
              </w:rPr>
            </w:pPr>
            <w:r w:rsidRPr="00B617E2">
              <w:rPr>
                <w:rFonts w:ascii="Arial Black" w:hAnsi="Arial Black" w:cs="Arial"/>
                <w:b/>
                <w:color w:val="FFFFFF" w:themeColor="background1"/>
                <w:sz w:val="36"/>
                <w:szCs w:val="36"/>
              </w:rPr>
              <w:t>Training and guidance for staff</w:t>
            </w:r>
          </w:p>
        </w:tc>
      </w:tr>
    </w:tbl>
    <w:p w14:paraId="21BD0B24" w14:textId="1DE0142F" w:rsidR="00233457" w:rsidRPr="00233457" w:rsidRDefault="00233457" w:rsidP="003821BB">
      <w:pPr>
        <w:pStyle w:val="ListParagraph"/>
        <w:numPr>
          <w:ilvl w:val="0"/>
          <w:numId w:val="11"/>
        </w:numPr>
        <w:spacing w:before="120" w:after="0" w:line="360" w:lineRule="auto"/>
        <w:ind w:left="425" w:hanging="357"/>
        <w:contextualSpacing w:val="0"/>
        <w:rPr>
          <w:sz w:val="24"/>
          <w:szCs w:val="24"/>
        </w:rPr>
      </w:pPr>
      <w:bookmarkStart w:id="0" w:name="_Toc532821346"/>
      <w:r w:rsidRPr="00233457">
        <w:rPr>
          <w:rFonts w:cstheme="minorHAnsi"/>
          <w:color w:val="404040" w:themeColor="text1" w:themeTint="BF"/>
          <w:sz w:val="24"/>
          <w:szCs w:val="24"/>
        </w:rPr>
        <w:t xml:space="preserve">The </w:t>
      </w:r>
      <w:hyperlink r:id="rId7" w:history="1">
        <w:r w:rsidRPr="00233457">
          <w:rPr>
            <w:rStyle w:val="Hyperlink"/>
            <w:rFonts w:cstheme="minorHAnsi"/>
            <w:b/>
            <w:sz w:val="24"/>
            <w:szCs w:val="24"/>
          </w:rPr>
          <w:t>Quality and Academic Development team</w:t>
        </w:r>
      </w:hyperlink>
      <w:r w:rsidRPr="00233457">
        <w:rPr>
          <w:rFonts w:cstheme="minorHAnsi"/>
          <w:color w:val="404040" w:themeColor="text1" w:themeTint="BF"/>
          <w:sz w:val="24"/>
          <w:szCs w:val="24"/>
        </w:rPr>
        <w:t xml:space="preserve"> provide guidance on the course design and development </w:t>
      </w:r>
      <w:hyperlink r:id="rId8" w:history="1">
        <w:r w:rsidRPr="00233457">
          <w:rPr>
            <w:rStyle w:val="Hyperlink"/>
            <w:rFonts w:cstheme="minorHAnsi"/>
            <w:sz w:val="24"/>
            <w:szCs w:val="24"/>
          </w:rPr>
          <w:t>webpages</w:t>
        </w:r>
      </w:hyperlink>
      <w:r w:rsidRPr="00233457">
        <w:rPr>
          <w:rFonts w:cstheme="minorHAnsi"/>
          <w:color w:val="404040" w:themeColor="text1" w:themeTint="BF"/>
          <w:sz w:val="24"/>
          <w:szCs w:val="24"/>
        </w:rPr>
        <w:t xml:space="preserve"> on the areas to consider when</w:t>
      </w:r>
      <w:r w:rsidR="002C436D">
        <w:rPr>
          <w:rFonts w:cstheme="minorHAnsi"/>
          <w:color w:val="404040" w:themeColor="text1" w:themeTint="BF"/>
          <w:sz w:val="24"/>
          <w:szCs w:val="24"/>
        </w:rPr>
        <w:t xml:space="preserve"> designing new courses and</w:t>
      </w:r>
      <w:r w:rsidRPr="00233457">
        <w:rPr>
          <w:rFonts w:cstheme="minorHAnsi"/>
          <w:color w:val="404040" w:themeColor="text1" w:themeTint="BF"/>
          <w:sz w:val="24"/>
          <w:szCs w:val="24"/>
        </w:rPr>
        <w:t xml:space="preserve"> </w:t>
      </w:r>
      <w:hyperlink r:id="rId9" w:history="1">
        <w:r w:rsidRPr="00233457">
          <w:rPr>
            <w:rStyle w:val="Hyperlink"/>
            <w:rFonts w:cstheme="minorHAnsi"/>
            <w:sz w:val="24"/>
            <w:szCs w:val="24"/>
          </w:rPr>
          <w:t>making changes to courses and modules</w:t>
        </w:r>
      </w:hyperlink>
      <w:r w:rsidRPr="00233457">
        <w:rPr>
          <w:rFonts w:cstheme="minorHAnsi"/>
          <w:color w:val="404040" w:themeColor="text1" w:themeTint="BF"/>
          <w:sz w:val="24"/>
          <w:szCs w:val="24"/>
        </w:rPr>
        <w:t xml:space="preserve">. These are also relevant when designing new courses and modules, particularly where any new modules form part of an existing course. </w:t>
      </w:r>
      <w:r>
        <w:rPr>
          <w:rFonts w:cstheme="minorHAnsi"/>
          <w:color w:val="404040" w:themeColor="text1" w:themeTint="BF"/>
          <w:sz w:val="24"/>
          <w:szCs w:val="24"/>
        </w:rPr>
        <w:t xml:space="preserve">Visit the relevant webpages to read guidance and download forms on processes relating to creating new </w:t>
      </w:r>
      <w:hyperlink r:id="rId10" w:history="1">
        <w:r w:rsidRPr="00233457">
          <w:rPr>
            <w:rStyle w:val="Hyperlink"/>
            <w:rFonts w:cstheme="minorHAnsi"/>
            <w:sz w:val="24"/>
            <w:szCs w:val="24"/>
          </w:rPr>
          <w:t>courses</w:t>
        </w:r>
      </w:hyperlink>
      <w:r>
        <w:rPr>
          <w:rFonts w:cstheme="minorHAnsi"/>
          <w:color w:val="404040" w:themeColor="text1" w:themeTint="BF"/>
          <w:sz w:val="24"/>
          <w:szCs w:val="24"/>
        </w:rPr>
        <w:t xml:space="preserve">, </w:t>
      </w:r>
      <w:hyperlink r:id="rId11" w:history="1">
        <w:r w:rsidRPr="00233457">
          <w:rPr>
            <w:rStyle w:val="Hyperlink"/>
            <w:rFonts w:cstheme="minorHAnsi"/>
            <w:sz w:val="24"/>
            <w:szCs w:val="24"/>
          </w:rPr>
          <w:t>apprenticeships</w:t>
        </w:r>
      </w:hyperlink>
      <w:r>
        <w:rPr>
          <w:rFonts w:cstheme="minorHAnsi"/>
          <w:color w:val="404040" w:themeColor="text1" w:themeTint="BF"/>
          <w:sz w:val="24"/>
          <w:szCs w:val="24"/>
        </w:rPr>
        <w:t xml:space="preserve"> and </w:t>
      </w:r>
      <w:hyperlink r:id="rId12" w:history="1">
        <w:r w:rsidRPr="00233457">
          <w:rPr>
            <w:rStyle w:val="Hyperlink"/>
            <w:rFonts w:cstheme="minorHAnsi"/>
            <w:sz w:val="24"/>
            <w:szCs w:val="24"/>
          </w:rPr>
          <w:t>modules</w:t>
        </w:r>
      </w:hyperlink>
      <w:r>
        <w:rPr>
          <w:rFonts w:cstheme="minorHAnsi"/>
          <w:color w:val="404040" w:themeColor="text1" w:themeTint="BF"/>
          <w:sz w:val="24"/>
          <w:szCs w:val="24"/>
        </w:rPr>
        <w:t xml:space="preserve">. Information is also available on </w:t>
      </w:r>
      <w:hyperlink r:id="rId13" w:history="1">
        <w:r w:rsidRPr="00233457">
          <w:rPr>
            <w:rStyle w:val="Hyperlink"/>
            <w:rFonts w:cstheme="minorHAnsi"/>
            <w:sz w:val="24"/>
            <w:szCs w:val="24"/>
          </w:rPr>
          <w:t>course validation</w:t>
        </w:r>
      </w:hyperlink>
      <w:r>
        <w:rPr>
          <w:rFonts w:cstheme="minorHAnsi"/>
          <w:color w:val="404040" w:themeColor="text1" w:themeTint="BF"/>
          <w:sz w:val="24"/>
          <w:szCs w:val="24"/>
        </w:rPr>
        <w:t xml:space="preserve"> processes and </w:t>
      </w:r>
      <w:hyperlink r:id="rId14" w:history="1">
        <w:r w:rsidRPr="00233457">
          <w:rPr>
            <w:rStyle w:val="Hyperlink"/>
            <w:rFonts w:cstheme="minorHAnsi"/>
            <w:sz w:val="24"/>
            <w:szCs w:val="24"/>
          </w:rPr>
          <w:t>work-based learning</w:t>
        </w:r>
      </w:hyperlink>
      <w:r>
        <w:rPr>
          <w:rFonts w:cstheme="minorHAnsi"/>
          <w:color w:val="404040" w:themeColor="text1" w:themeTint="BF"/>
          <w:sz w:val="24"/>
          <w:szCs w:val="24"/>
        </w:rPr>
        <w:t xml:space="preserve"> should this be required.</w:t>
      </w:r>
    </w:p>
    <w:p w14:paraId="418D4995" w14:textId="07896C7D" w:rsidR="00233457" w:rsidRPr="002C436D" w:rsidRDefault="00233457" w:rsidP="003821BB">
      <w:pPr>
        <w:pStyle w:val="ListParagraph"/>
        <w:spacing w:before="120" w:after="0" w:line="360" w:lineRule="auto"/>
        <w:ind w:left="425"/>
        <w:contextualSpacing w:val="0"/>
        <w:rPr>
          <w:sz w:val="24"/>
          <w:szCs w:val="24"/>
        </w:rPr>
      </w:pPr>
      <w:r w:rsidRPr="002C436D">
        <w:rPr>
          <w:rFonts w:cstheme="minorHAnsi"/>
          <w:color w:val="404040" w:themeColor="text1" w:themeTint="BF"/>
          <w:sz w:val="24"/>
          <w:szCs w:val="24"/>
        </w:rPr>
        <w:t>Changes to courses and modules are processed from</w:t>
      </w:r>
      <w:r w:rsidRPr="00233457">
        <w:rPr>
          <w:sz w:val="24"/>
          <w:szCs w:val="24"/>
        </w:rPr>
        <w:t xml:space="preserve"> </w:t>
      </w:r>
      <w:hyperlink r:id="rId15" w:history="1">
        <w:r w:rsidRPr="00233457">
          <w:rPr>
            <w:rStyle w:val="Hyperlink"/>
            <w:sz w:val="24"/>
            <w:szCs w:val="24"/>
          </w:rPr>
          <w:t>Curriculum Update</w:t>
        </w:r>
      </w:hyperlink>
      <w:r w:rsidRPr="002C436D">
        <w:rPr>
          <w:rFonts w:cstheme="minorHAnsi"/>
          <w:color w:val="404040" w:themeColor="text1" w:themeTint="BF"/>
          <w:sz w:val="24"/>
          <w:szCs w:val="24"/>
        </w:rPr>
        <w:t>, the University’s</w:t>
      </w:r>
      <w:r w:rsidRPr="00233457">
        <w:rPr>
          <w:sz w:val="24"/>
          <w:szCs w:val="24"/>
        </w:rPr>
        <w:t xml:space="preserve"> </w:t>
      </w:r>
      <w:r w:rsidRPr="002C436D">
        <w:rPr>
          <w:rFonts w:cstheme="minorHAnsi"/>
          <w:color w:val="404040" w:themeColor="text1" w:themeTint="BF"/>
          <w:sz w:val="24"/>
          <w:szCs w:val="24"/>
        </w:rPr>
        <w:t xml:space="preserve">system for making changes to courses and modules. Before any staff member uses this system, you </w:t>
      </w:r>
      <w:r w:rsidRPr="002C436D">
        <w:rPr>
          <w:rFonts w:cstheme="minorHAnsi"/>
          <w:color w:val="404040" w:themeColor="text1" w:themeTint="BF"/>
          <w:sz w:val="24"/>
          <w:szCs w:val="24"/>
          <w:u w:val="single"/>
        </w:rPr>
        <w:t>must</w:t>
      </w:r>
      <w:r w:rsidRPr="002C436D">
        <w:rPr>
          <w:rFonts w:cstheme="minorHAnsi"/>
          <w:color w:val="404040" w:themeColor="text1" w:themeTint="BF"/>
          <w:sz w:val="24"/>
          <w:szCs w:val="24"/>
        </w:rPr>
        <w:t xml:space="preserve"> do the pre-work and training. C</w:t>
      </w:r>
      <w:r w:rsidR="002C436D">
        <w:rPr>
          <w:rFonts w:cstheme="minorHAnsi"/>
          <w:color w:val="404040" w:themeColor="text1" w:themeTint="BF"/>
          <w:sz w:val="24"/>
          <w:szCs w:val="24"/>
        </w:rPr>
        <w:t>ourse Records</w:t>
      </w:r>
      <w:r w:rsidRPr="002C436D">
        <w:rPr>
          <w:rFonts w:cstheme="minorHAnsi"/>
          <w:color w:val="404040" w:themeColor="text1" w:themeTint="BF"/>
          <w:sz w:val="24"/>
          <w:szCs w:val="24"/>
        </w:rPr>
        <w:t xml:space="preserve"> post their new user training videos on the</w:t>
      </w:r>
      <w:r w:rsidRPr="00233457">
        <w:rPr>
          <w:sz w:val="24"/>
          <w:szCs w:val="24"/>
        </w:rPr>
        <w:t xml:space="preserve"> </w:t>
      </w:r>
      <w:hyperlink r:id="rId16" w:history="1">
        <w:r w:rsidRPr="00233457">
          <w:rPr>
            <w:rStyle w:val="Hyperlink"/>
            <w:sz w:val="24"/>
            <w:szCs w:val="24"/>
          </w:rPr>
          <w:t>professional development Moodle site</w:t>
        </w:r>
      </w:hyperlink>
      <w:r w:rsidRPr="00233457">
        <w:rPr>
          <w:sz w:val="24"/>
          <w:szCs w:val="24"/>
        </w:rPr>
        <w:t xml:space="preserve">. </w:t>
      </w:r>
      <w:r w:rsidRPr="002C436D">
        <w:rPr>
          <w:rFonts w:cstheme="minorHAnsi"/>
          <w:color w:val="404040" w:themeColor="text1" w:themeTint="BF"/>
          <w:sz w:val="24"/>
          <w:szCs w:val="24"/>
        </w:rPr>
        <w:t>The videos break down each of the areas of the Update and use screenshots of the system to guide you through the process. CRT also offer zoom drop-in sessions where they/you can share screens to show/watch how screens work and what tools are available to help you complete any part of the process.</w:t>
      </w:r>
      <w:r w:rsidR="002C436D">
        <w:rPr>
          <w:rFonts w:cstheme="minorHAnsi"/>
          <w:color w:val="404040" w:themeColor="text1" w:themeTint="BF"/>
          <w:sz w:val="24"/>
          <w:szCs w:val="24"/>
        </w:rPr>
        <w:t xml:space="preserve"> </w:t>
      </w:r>
      <w:r w:rsidRPr="002C436D">
        <w:rPr>
          <w:rFonts w:cstheme="minorHAnsi"/>
          <w:color w:val="404040" w:themeColor="text1" w:themeTint="BF"/>
          <w:sz w:val="24"/>
          <w:szCs w:val="24"/>
        </w:rPr>
        <w:t xml:space="preserve">For an overview of the Curriculum Update system, please see the </w:t>
      </w:r>
      <w:hyperlink r:id="rId17" w:history="1">
        <w:r w:rsidRPr="002C436D">
          <w:rPr>
            <w:rStyle w:val="Hyperlink"/>
            <w:sz w:val="24"/>
            <w:szCs w:val="24"/>
          </w:rPr>
          <w:t>Manual</w:t>
        </w:r>
      </w:hyperlink>
      <w:r w:rsidRPr="002C436D">
        <w:rPr>
          <w:sz w:val="24"/>
          <w:szCs w:val="24"/>
        </w:rPr>
        <w:t xml:space="preserve">. </w:t>
      </w:r>
      <w:r w:rsidRPr="002C436D">
        <w:rPr>
          <w:rFonts w:cstheme="minorHAnsi"/>
          <w:color w:val="404040" w:themeColor="text1" w:themeTint="BF"/>
          <w:sz w:val="24"/>
          <w:szCs w:val="24"/>
        </w:rPr>
        <w:t xml:space="preserve">Departments are also welcome to contact </w:t>
      </w:r>
      <w:r w:rsidR="002C436D">
        <w:rPr>
          <w:rFonts w:cstheme="minorHAnsi"/>
          <w:color w:val="404040" w:themeColor="text1" w:themeTint="BF"/>
          <w:sz w:val="24"/>
          <w:szCs w:val="24"/>
        </w:rPr>
        <w:t>us</w:t>
      </w:r>
      <w:r w:rsidRPr="002C436D">
        <w:rPr>
          <w:rFonts w:cstheme="minorHAnsi"/>
          <w:color w:val="404040" w:themeColor="text1" w:themeTint="BF"/>
          <w:sz w:val="24"/>
          <w:szCs w:val="24"/>
        </w:rPr>
        <w:t xml:space="preserve"> at any time to seek advice or training on specific aspects of course design. (</w:t>
      </w:r>
      <w:hyperlink r:id="rId18" w:history="1">
        <w:r w:rsidRPr="002C436D">
          <w:rPr>
            <w:rStyle w:val="Hyperlink"/>
            <w:rFonts w:cstheme="minorHAnsi"/>
            <w:sz w:val="24"/>
            <w:szCs w:val="24"/>
          </w:rPr>
          <w:t>crt@essex.ac.uk</w:t>
        </w:r>
      </w:hyperlink>
      <w:r w:rsidRPr="002C436D">
        <w:rPr>
          <w:rFonts w:cstheme="minorHAnsi"/>
          <w:color w:val="404040" w:themeColor="text1" w:themeTint="BF"/>
          <w:sz w:val="24"/>
          <w:szCs w:val="24"/>
        </w:rPr>
        <w:t xml:space="preserve"> or </w:t>
      </w:r>
      <w:hyperlink r:id="rId19" w:history="1">
        <w:r w:rsidRPr="002C436D">
          <w:rPr>
            <w:rStyle w:val="Hyperlink"/>
            <w:rFonts w:cstheme="minorHAnsi"/>
            <w:sz w:val="24"/>
            <w:szCs w:val="24"/>
          </w:rPr>
          <w:t>quad@essex.ac.uk</w:t>
        </w:r>
      </w:hyperlink>
      <w:r w:rsidRPr="002C436D">
        <w:rPr>
          <w:rFonts w:cstheme="minorHAnsi"/>
          <w:color w:val="404040" w:themeColor="text1" w:themeTint="BF"/>
          <w:sz w:val="24"/>
          <w:szCs w:val="24"/>
        </w:rPr>
        <w:t>).</w:t>
      </w:r>
    </w:p>
    <w:p w14:paraId="1D612129" w14:textId="0D5B1838" w:rsidR="00CE0DD6" w:rsidRDefault="00CE0DD6" w:rsidP="00CE0DD6">
      <w:pPr>
        <w:pStyle w:val="ListParagraph"/>
        <w:numPr>
          <w:ilvl w:val="0"/>
          <w:numId w:val="11"/>
        </w:numPr>
        <w:spacing w:before="120" w:after="0" w:line="360" w:lineRule="auto"/>
        <w:ind w:left="425" w:hanging="357"/>
        <w:contextualSpacing w:val="0"/>
        <w:rPr>
          <w:rFonts w:cstheme="minorHAnsi"/>
          <w:color w:val="404040" w:themeColor="text1" w:themeTint="BF"/>
          <w:sz w:val="24"/>
          <w:szCs w:val="24"/>
        </w:rPr>
      </w:pPr>
      <w:r w:rsidRPr="00CE0DD6">
        <w:rPr>
          <w:rFonts w:cstheme="minorHAnsi"/>
          <w:color w:val="404040" w:themeColor="text1" w:themeTint="BF"/>
          <w:sz w:val="24"/>
          <w:szCs w:val="24"/>
        </w:rPr>
        <w:t xml:space="preserve">The </w:t>
      </w:r>
      <w:hyperlink r:id="rId20" w:history="1">
        <w:r w:rsidRPr="00CE0DD6">
          <w:rPr>
            <w:rStyle w:val="Hyperlink"/>
            <w:rFonts w:cstheme="minorHAnsi"/>
            <w:b/>
            <w:bCs/>
            <w:sz w:val="24"/>
            <w:szCs w:val="24"/>
          </w:rPr>
          <w:t>Postgraduate Research Education Team</w:t>
        </w:r>
      </w:hyperlink>
      <w:r w:rsidRPr="00CE0DD6">
        <w:rPr>
          <w:rFonts w:cstheme="minorHAnsi"/>
          <w:color w:val="404040" w:themeColor="text1" w:themeTint="BF"/>
          <w:sz w:val="24"/>
          <w:szCs w:val="24"/>
        </w:rPr>
        <w:t xml:space="preserve"> supports many aspects of the University's postgraduate research education provision, including </w:t>
      </w:r>
      <w:r>
        <w:rPr>
          <w:rFonts w:cstheme="minorHAnsi"/>
          <w:color w:val="404040" w:themeColor="text1" w:themeTint="BF"/>
          <w:sz w:val="24"/>
          <w:szCs w:val="24"/>
        </w:rPr>
        <w:t xml:space="preserve">the creation of </w:t>
      </w:r>
      <w:r w:rsidRPr="00CE0DD6">
        <w:rPr>
          <w:rFonts w:cstheme="minorHAnsi"/>
          <w:color w:val="404040" w:themeColor="text1" w:themeTint="BF"/>
          <w:sz w:val="24"/>
          <w:szCs w:val="24"/>
        </w:rPr>
        <w:t>Doctoral Training Partnerships and postgraduate research student skills development.</w:t>
      </w:r>
      <w:r>
        <w:rPr>
          <w:rFonts w:cstheme="minorHAnsi"/>
          <w:color w:val="404040" w:themeColor="text1" w:themeTint="BF"/>
          <w:sz w:val="24"/>
          <w:szCs w:val="24"/>
        </w:rPr>
        <w:t xml:space="preserve"> </w:t>
      </w:r>
    </w:p>
    <w:p w14:paraId="33FB9217" w14:textId="799D29FF" w:rsidR="00AF5EA1" w:rsidRDefault="008D4230" w:rsidP="003821BB">
      <w:pPr>
        <w:pStyle w:val="ListParagraph"/>
        <w:numPr>
          <w:ilvl w:val="0"/>
          <w:numId w:val="11"/>
        </w:numPr>
        <w:spacing w:before="120" w:after="0" w:line="360" w:lineRule="auto"/>
        <w:ind w:left="425" w:hanging="357"/>
        <w:contextualSpacing w:val="0"/>
        <w:rPr>
          <w:rFonts w:cstheme="minorHAnsi"/>
          <w:color w:val="404040" w:themeColor="text1" w:themeTint="BF"/>
          <w:sz w:val="24"/>
          <w:szCs w:val="24"/>
        </w:rPr>
      </w:pPr>
      <w:r w:rsidRPr="00233457">
        <w:rPr>
          <w:rFonts w:cstheme="minorHAnsi"/>
          <w:color w:val="404040" w:themeColor="text1" w:themeTint="BF"/>
          <w:sz w:val="24"/>
          <w:szCs w:val="24"/>
        </w:rPr>
        <w:t xml:space="preserve">The </w:t>
      </w:r>
      <w:hyperlink r:id="rId21" w:history="1">
        <w:r w:rsidRPr="00233457">
          <w:rPr>
            <w:rStyle w:val="Hyperlink"/>
            <w:rFonts w:cstheme="minorHAnsi"/>
            <w:b/>
            <w:bCs/>
            <w:sz w:val="24"/>
            <w:szCs w:val="24"/>
          </w:rPr>
          <w:t>Organisational Development team</w:t>
        </w:r>
      </w:hyperlink>
      <w:r w:rsidR="00D81A4B" w:rsidRPr="00233457">
        <w:rPr>
          <w:rFonts w:cstheme="minorHAnsi"/>
          <w:color w:val="404040" w:themeColor="text1" w:themeTint="BF"/>
          <w:sz w:val="24"/>
          <w:szCs w:val="24"/>
        </w:rPr>
        <w:t xml:space="preserve"> offer</w:t>
      </w:r>
      <w:r w:rsidRPr="00233457">
        <w:rPr>
          <w:rFonts w:cstheme="minorHAnsi"/>
          <w:color w:val="404040" w:themeColor="text1" w:themeTint="BF"/>
          <w:sz w:val="24"/>
          <w:szCs w:val="24"/>
        </w:rPr>
        <w:t xml:space="preserve"> a range of </w:t>
      </w:r>
      <w:hyperlink r:id="rId22" w:anchor="academic-development" w:history="1">
        <w:r w:rsidRPr="00233457">
          <w:rPr>
            <w:rStyle w:val="Hyperlink"/>
            <w:rFonts w:cstheme="minorHAnsi"/>
            <w:sz w:val="24"/>
            <w:szCs w:val="24"/>
          </w:rPr>
          <w:t xml:space="preserve">resources </w:t>
        </w:r>
        <w:r w:rsidR="00D81A4B" w:rsidRPr="00233457">
          <w:rPr>
            <w:rStyle w:val="Hyperlink"/>
            <w:rFonts w:cstheme="minorHAnsi"/>
            <w:sz w:val="24"/>
            <w:szCs w:val="24"/>
          </w:rPr>
          <w:t>and training</w:t>
        </w:r>
      </w:hyperlink>
      <w:r w:rsidR="00D81A4B" w:rsidRPr="00233457">
        <w:rPr>
          <w:rFonts w:cstheme="minorHAnsi"/>
          <w:color w:val="404040" w:themeColor="text1" w:themeTint="BF"/>
          <w:sz w:val="24"/>
          <w:szCs w:val="24"/>
        </w:rPr>
        <w:t xml:space="preserve"> </w:t>
      </w:r>
      <w:r w:rsidRPr="00233457">
        <w:rPr>
          <w:rFonts w:cstheme="minorHAnsi"/>
          <w:color w:val="404040" w:themeColor="text1" w:themeTint="BF"/>
          <w:sz w:val="24"/>
          <w:szCs w:val="24"/>
        </w:rPr>
        <w:t>which help staff who are designing courses and modules.</w:t>
      </w:r>
      <w:r w:rsidR="00D81A4B" w:rsidRPr="00233457">
        <w:rPr>
          <w:rFonts w:cstheme="minorHAnsi"/>
          <w:color w:val="404040" w:themeColor="text1" w:themeTint="BF"/>
          <w:sz w:val="24"/>
          <w:szCs w:val="24"/>
        </w:rPr>
        <w:t xml:space="preserve"> </w:t>
      </w:r>
      <w:r w:rsidR="00233457" w:rsidRPr="00233457">
        <w:rPr>
          <w:rFonts w:cstheme="minorHAnsi"/>
          <w:color w:val="404040" w:themeColor="text1" w:themeTint="BF"/>
          <w:sz w:val="24"/>
          <w:szCs w:val="24"/>
        </w:rPr>
        <w:t>Their</w:t>
      </w:r>
      <w:r w:rsidR="00D81A4B" w:rsidRPr="00233457">
        <w:rPr>
          <w:rFonts w:cstheme="minorHAnsi"/>
          <w:color w:val="404040" w:themeColor="text1" w:themeTint="BF"/>
          <w:sz w:val="24"/>
          <w:szCs w:val="24"/>
        </w:rPr>
        <w:t xml:space="preserve"> </w:t>
      </w:r>
      <w:hyperlink r:id="rId23" w:history="1">
        <w:r w:rsidR="00D81A4B" w:rsidRPr="00233457">
          <w:rPr>
            <w:rStyle w:val="Hyperlink"/>
            <w:rFonts w:cstheme="minorHAnsi"/>
            <w:sz w:val="24"/>
            <w:szCs w:val="24"/>
          </w:rPr>
          <w:t>Education Insights Workshops</w:t>
        </w:r>
      </w:hyperlink>
      <w:r w:rsidR="00233457" w:rsidRPr="00233457">
        <w:rPr>
          <w:rFonts w:cstheme="minorHAnsi"/>
          <w:color w:val="404040" w:themeColor="text1" w:themeTint="BF"/>
          <w:sz w:val="24"/>
          <w:szCs w:val="24"/>
        </w:rPr>
        <w:t xml:space="preserve"> are designed to provide you with an all-round development of your practice inside and outside the classroom.</w:t>
      </w:r>
    </w:p>
    <w:p w14:paraId="4EBE4DAC" w14:textId="600E6A57" w:rsidR="00AF5EA1" w:rsidRPr="00AF5EA1" w:rsidRDefault="00AF5EA1" w:rsidP="003821BB">
      <w:pPr>
        <w:pStyle w:val="ListParagraph"/>
        <w:numPr>
          <w:ilvl w:val="0"/>
          <w:numId w:val="11"/>
        </w:numPr>
        <w:spacing w:before="120" w:after="0" w:line="360" w:lineRule="auto"/>
        <w:ind w:left="425" w:hanging="357"/>
        <w:contextualSpacing w:val="0"/>
        <w:rPr>
          <w:rFonts w:cstheme="minorHAnsi"/>
          <w:color w:val="404040" w:themeColor="text1" w:themeTint="BF"/>
          <w:sz w:val="24"/>
          <w:szCs w:val="24"/>
        </w:rPr>
      </w:pPr>
      <w:r w:rsidRPr="00AF5EA1">
        <w:rPr>
          <w:rFonts w:cstheme="minorHAnsi"/>
          <w:color w:val="404040" w:themeColor="text1" w:themeTint="BF"/>
          <w:sz w:val="24"/>
          <w:szCs w:val="24"/>
        </w:rPr>
        <w:t xml:space="preserve">The </w:t>
      </w:r>
      <w:r w:rsidRPr="00AF5EA1">
        <w:rPr>
          <w:rFonts w:cstheme="minorHAnsi"/>
          <w:b/>
          <w:bCs/>
          <w:color w:val="404040" w:themeColor="text1" w:themeTint="BF"/>
          <w:sz w:val="24"/>
          <w:szCs w:val="24"/>
        </w:rPr>
        <w:t>Office for Students (OfS)</w:t>
      </w:r>
      <w:r w:rsidRPr="00AF5EA1">
        <w:rPr>
          <w:rFonts w:ascii="Arial" w:hAnsi="Arial" w:cs="Arial"/>
          <w:sz w:val="24"/>
          <w:szCs w:val="24"/>
        </w:rPr>
        <w:t xml:space="preserve"> </w:t>
      </w:r>
      <w:hyperlink r:id="rId24" w:history="1">
        <w:r w:rsidRPr="00AF5EA1">
          <w:rPr>
            <w:rStyle w:val="Hyperlink"/>
            <w:rFonts w:ascii="Arial" w:hAnsi="Arial" w:cs="Arial"/>
            <w:sz w:val="24"/>
            <w:szCs w:val="24"/>
          </w:rPr>
          <w:t>conditions of registration</w:t>
        </w:r>
      </w:hyperlink>
      <w:r w:rsidRPr="00AF5EA1">
        <w:rPr>
          <w:rFonts w:ascii="Arial" w:hAnsi="Arial" w:cs="Arial"/>
          <w:sz w:val="24"/>
          <w:szCs w:val="24"/>
        </w:rPr>
        <w:t xml:space="preserve"> </w:t>
      </w:r>
      <w:r w:rsidRPr="00AF5EA1">
        <w:rPr>
          <w:rFonts w:cstheme="minorHAnsi"/>
          <w:color w:val="404040" w:themeColor="text1" w:themeTint="BF"/>
          <w:sz w:val="24"/>
          <w:szCs w:val="24"/>
        </w:rPr>
        <w:t>require that for all awards:</w:t>
      </w:r>
    </w:p>
    <w:p w14:paraId="1E8B22C6" w14:textId="77777777" w:rsidR="00AF5EA1" w:rsidRPr="00AF5EA1" w:rsidRDefault="00AF5EA1" w:rsidP="003821BB">
      <w:pPr>
        <w:pStyle w:val="ListParagraph"/>
        <w:numPr>
          <w:ilvl w:val="0"/>
          <w:numId w:val="13"/>
        </w:numPr>
        <w:spacing w:after="120" w:line="360" w:lineRule="auto"/>
        <w:ind w:left="993" w:hanging="284"/>
        <w:contextualSpacing w:val="0"/>
        <w:rPr>
          <w:rFonts w:ascii="Arial" w:hAnsi="Arial" w:cs="Arial"/>
          <w:bCs/>
          <w:sz w:val="24"/>
          <w:szCs w:val="24"/>
        </w:rPr>
      </w:pPr>
      <w:r w:rsidRPr="00AF5EA1">
        <w:rPr>
          <w:rFonts w:cstheme="minorHAnsi"/>
          <w:color w:val="404040" w:themeColor="text1" w:themeTint="BF"/>
          <w:sz w:val="24"/>
          <w:szCs w:val="24"/>
        </w:rPr>
        <w:t>any standards set appropriately reflect any applicable</w:t>
      </w:r>
      <w:r w:rsidRPr="00AF5EA1">
        <w:rPr>
          <w:rFonts w:ascii="Arial" w:hAnsi="Arial" w:cs="Arial"/>
          <w:sz w:val="24"/>
          <w:szCs w:val="24"/>
        </w:rPr>
        <w:t xml:space="preserve"> </w:t>
      </w:r>
      <w:hyperlink r:id="rId25" w:history="1">
        <w:r w:rsidRPr="00AF5EA1">
          <w:rPr>
            <w:rStyle w:val="Hyperlink"/>
            <w:rFonts w:ascii="Arial" w:hAnsi="Arial" w:cs="Arial"/>
            <w:sz w:val="24"/>
            <w:szCs w:val="24"/>
          </w:rPr>
          <w:t>sector-recognised standards</w:t>
        </w:r>
      </w:hyperlink>
      <w:r w:rsidRPr="00AF5EA1">
        <w:rPr>
          <w:rFonts w:cstheme="minorHAnsi"/>
          <w:color w:val="404040" w:themeColor="text1" w:themeTint="BF"/>
          <w:sz w:val="24"/>
          <w:szCs w:val="24"/>
        </w:rPr>
        <w:t>; and</w:t>
      </w:r>
      <w:r w:rsidRPr="00AF5EA1">
        <w:rPr>
          <w:rFonts w:ascii="Arial" w:hAnsi="Arial" w:cs="Arial"/>
          <w:sz w:val="24"/>
          <w:szCs w:val="24"/>
        </w:rPr>
        <w:t xml:space="preserve"> </w:t>
      </w:r>
    </w:p>
    <w:p w14:paraId="796F9375" w14:textId="53F95051" w:rsidR="00AF5EA1" w:rsidRPr="00AF5EA1" w:rsidRDefault="00AF5EA1" w:rsidP="003821BB">
      <w:pPr>
        <w:pStyle w:val="ListParagraph"/>
        <w:numPr>
          <w:ilvl w:val="0"/>
          <w:numId w:val="13"/>
        </w:numPr>
        <w:spacing w:after="120" w:line="360" w:lineRule="auto"/>
        <w:ind w:left="993" w:hanging="284"/>
        <w:contextualSpacing w:val="0"/>
        <w:rPr>
          <w:rFonts w:ascii="Arial" w:hAnsi="Arial" w:cs="Arial"/>
          <w:bCs/>
          <w:sz w:val="24"/>
          <w:szCs w:val="24"/>
        </w:rPr>
      </w:pPr>
      <w:r w:rsidRPr="00AF5EA1">
        <w:rPr>
          <w:rFonts w:cstheme="minorHAnsi"/>
          <w:color w:val="404040" w:themeColor="text1" w:themeTint="BF"/>
          <w:sz w:val="24"/>
          <w:szCs w:val="24"/>
        </w:rPr>
        <w:t>awards are only granted to students whose knowledge and skills appropriately reflect any applicable sector-recognised standards.</w:t>
      </w:r>
    </w:p>
    <w:p w14:paraId="1225C9E0" w14:textId="7CB26382" w:rsidR="00AF5EA1" w:rsidRPr="00AF5EA1" w:rsidRDefault="00AF5EA1" w:rsidP="003821BB">
      <w:pPr>
        <w:pStyle w:val="ListParagraph"/>
        <w:spacing w:before="120" w:after="0" w:line="360" w:lineRule="auto"/>
        <w:ind w:left="425"/>
        <w:contextualSpacing w:val="0"/>
        <w:rPr>
          <w:rFonts w:cstheme="minorHAnsi"/>
          <w:color w:val="404040" w:themeColor="text1" w:themeTint="BF"/>
          <w:sz w:val="24"/>
          <w:szCs w:val="24"/>
        </w:rPr>
      </w:pPr>
      <w:r w:rsidRPr="00AF5EA1">
        <w:rPr>
          <w:rFonts w:cstheme="minorHAnsi"/>
          <w:color w:val="404040" w:themeColor="text1" w:themeTint="BF"/>
          <w:sz w:val="24"/>
          <w:szCs w:val="24"/>
        </w:rPr>
        <w:lastRenderedPageBreak/>
        <w:t xml:space="preserve">The sector-recognised standards for qualifications in England are published by </w:t>
      </w:r>
      <w:r>
        <w:rPr>
          <w:rFonts w:cstheme="minorHAnsi"/>
          <w:color w:val="404040" w:themeColor="text1" w:themeTint="BF"/>
          <w:sz w:val="24"/>
          <w:szCs w:val="24"/>
        </w:rPr>
        <w:t xml:space="preserve">the </w:t>
      </w:r>
      <w:r w:rsidRPr="00AF5EA1">
        <w:rPr>
          <w:rFonts w:cstheme="minorHAnsi"/>
          <w:color w:val="404040" w:themeColor="text1" w:themeTint="BF"/>
          <w:sz w:val="24"/>
          <w:szCs w:val="24"/>
        </w:rPr>
        <w:t xml:space="preserve">OfS, drawing on other sources, including typical higher education qualifications at each level and degree classification descriptions for bachelors’ degrees. </w:t>
      </w:r>
    </w:p>
    <w:p w14:paraId="27F4E8C8" w14:textId="36C138F1" w:rsidR="002C436D" w:rsidRDefault="00945295" w:rsidP="003821BB">
      <w:pPr>
        <w:pStyle w:val="ListParagraph"/>
        <w:numPr>
          <w:ilvl w:val="0"/>
          <w:numId w:val="11"/>
        </w:numPr>
        <w:spacing w:before="120" w:after="0" w:line="360" w:lineRule="auto"/>
        <w:ind w:left="425" w:hanging="357"/>
        <w:contextualSpacing w:val="0"/>
        <w:rPr>
          <w:rFonts w:cstheme="minorHAnsi"/>
          <w:color w:val="404040" w:themeColor="text1" w:themeTint="BF"/>
          <w:sz w:val="24"/>
          <w:szCs w:val="24"/>
        </w:rPr>
      </w:pPr>
      <w:r w:rsidRPr="00233457">
        <w:rPr>
          <w:rFonts w:cstheme="minorHAnsi"/>
          <w:color w:val="404040" w:themeColor="text1" w:themeTint="BF"/>
          <w:sz w:val="24"/>
          <w:szCs w:val="24"/>
        </w:rPr>
        <w:t xml:space="preserve">The </w:t>
      </w:r>
      <w:r w:rsidR="002E05E5" w:rsidRPr="00233457">
        <w:rPr>
          <w:rFonts w:cstheme="minorHAnsi"/>
          <w:b/>
          <w:color w:val="404040" w:themeColor="text1" w:themeTint="BF"/>
          <w:sz w:val="24"/>
          <w:szCs w:val="24"/>
        </w:rPr>
        <w:t>Quality Assurance Agency (QAA)</w:t>
      </w:r>
      <w:r w:rsidR="002E05E5" w:rsidRPr="00233457">
        <w:rPr>
          <w:rFonts w:cstheme="minorHAnsi"/>
          <w:color w:val="404040" w:themeColor="text1" w:themeTint="BF"/>
          <w:sz w:val="24"/>
          <w:szCs w:val="24"/>
        </w:rPr>
        <w:t xml:space="preserve"> UK Quality Code for Higher Education</w:t>
      </w:r>
      <w:r w:rsidRPr="00233457">
        <w:rPr>
          <w:rFonts w:cstheme="minorHAnsi"/>
          <w:color w:val="404040" w:themeColor="text1" w:themeTint="BF"/>
          <w:sz w:val="24"/>
          <w:szCs w:val="24"/>
        </w:rPr>
        <w:t xml:space="preserve"> includes</w:t>
      </w:r>
      <w:r w:rsidR="002E05E5" w:rsidRPr="00233457">
        <w:rPr>
          <w:rFonts w:cstheme="minorHAnsi"/>
          <w:color w:val="404040" w:themeColor="text1" w:themeTint="BF"/>
          <w:sz w:val="24"/>
          <w:szCs w:val="24"/>
        </w:rPr>
        <w:t xml:space="preserve">:  </w:t>
      </w:r>
      <w:hyperlink r:id="rId26" w:history="1">
        <w:r w:rsidR="002E05E5" w:rsidRPr="00233457">
          <w:rPr>
            <w:rStyle w:val="Hyperlink"/>
            <w:rFonts w:cstheme="minorHAnsi"/>
            <w:sz w:val="24"/>
            <w:szCs w:val="24"/>
          </w:rPr>
          <w:t>Advice and guidance: Course design and development</w:t>
        </w:r>
      </w:hyperlink>
      <w:r w:rsidR="002E05E5" w:rsidRPr="00233457">
        <w:rPr>
          <w:rFonts w:cstheme="minorHAnsi"/>
          <w:color w:val="404040" w:themeColor="text1" w:themeTint="BF"/>
          <w:sz w:val="24"/>
          <w:szCs w:val="24"/>
        </w:rPr>
        <w:t xml:space="preserve"> (November 2018)</w:t>
      </w:r>
      <w:r w:rsidRPr="00233457">
        <w:rPr>
          <w:rFonts w:cstheme="minorHAnsi"/>
          <w:color w:val="404040" w:themeColor="text1" w:themeTint="BF"/>
          <w:sz w:val="24"/>
          <w:szCs w:val="24"/>
        </w:rPr>
        <w:t xml:space="preserve">. This sets out the </w:t>
      </w:r>
      <w:r w:rsidR="002C436D">
        <w:rPr>
          <w:rFonts w:cstheme="minorHAnsi"/>
          <w:color w:val="404040" w:themeColor="text1" w:themeTint="BF"/>
          <w:sz w:val="24"/>
          <w:szCs w:val="24"/>
        </w:rPr>
        <w:t xml:space="preserve">recommended </w:t>
      </w:r>
      <w:r w:rsidRPr="00233457">
        <w:rPr>
          <w:rFonts w:cstheme="minorHAnsi"/>
          <w:color w:val="404040" w:themeColor="text1" w:themeTint="BF"/>
          <w:sz w:val="24"/>
          <w:szCs w:val="24"/>
        </w:rPr>
        <w:t xml:space="preserve">expectations and </w:t>
      </w:r>
      <w:r w:rsidR="00AF5EA1" w:rsidRPr="00233457">
        <w:rPr>
          <w:rFonts w:cstheme="minorHAnsi"/>
          <w:color w:val="404040" w:themeColor="text1" w:themeTint="BF"/>
          <w:sz w:val="24"/>
          <w:szCs w:val="24"/>
        </w:rPr>
        <w:t>practice</w:t>
      </w:r>
      <w:r w:rsidR="00AF5EA1">
        <w:rPr>
          <w:rFonts w:cstheme="minorHAnsi"/>
          <w:color w:val="404040" w:themeColor="text1" w:themeTint="BF"/>
          <w:sz w:val="24"/>
          <w:szCs w:val="24"/>
        </w:rPr>
        <w:t>s</w:t>
      </w:r>
      <w:r w:rsidR="00AF5EA1" w:rsidRPr="00233457">
        <w:rPr>
          <w:rFonts w:cstheme="minorHAnsi"/>
          <w:color w:val="404040" w:themeColor="text1" w:themeTint="BF"/>
          <w:sz w:val="24"/>
          <w:szCs w:val="24"/>
        </w:rPr>
        <w:t xml:space="preserve"> and</w:t>
      </w:r>
      <w:r w:rsidRPr="00233457">
        <w:rPr>
          <w:rFonts w:cstheme="minorHAnsi"/>
          <w:color w:val="404040" w:themeColor="text1" w:themeTint="BF"/>
          <w:sz w:val="24"/>
          <w:szCs w:val="24"/>
        </w:rPr>
        <w:t xml:space="preserve"> offers some additional advice.</w:t>
      </w:r>
      <w:r w:rsidR="00B87D7D" w:rsidRPr="00233457">
        <w:rPr>
          <w:rFonts w:cstheme="minorHAnsi"/>
          <w:color w:val="404040" w:themeColor="text1" w:themeTint="BF"/>
          <w:sz w:val="24"/>
          <w:szCs w:val="24"/>
        </w:rPr>
        <w:t xml:space="preserve"> </w:t>
      </w:r>
      <w:r w:rsidR="002C436D">
        <w:rPr>
          <w:rFonts w:cstheme="minorHAnsi"/>
          <w:color w:val="404040" w:themeColor="text1" w:themeTint="BF"/>
          <w:sz w:val="24"/>
          <w:szCs w:val="24"/>
        </w:rPr>
        <w:t xml:space="preserve">Departments should also map courses to </w:t>
      </w:r>
      <w:hyperlink r:id="rId27" w:history="1">
        <w:r w:rsidR="002C436D" w:rsidRPr="002C436D">
          <w:rPr>
            <w:rStyle w:val="Hyperlink"/>
            <w:rFonts w:cstheme="minorHAnsi"/>
            <w:sz w:val="24"/>
            <w:szCs w:val="24"/>
          </w:rPr>
          <w:t>Subject Benchmark Statements</w:t>
        </w:r>
      </w:hyperlink>
      <w:r w:rsidR="002C436D">
        <w:rPr>
          <w:rFonts w:cstheme="minorHAnsi"/>
          <w:color w:val="404040" w:themeColor="text1" w:themeTint="BF"/>
          <w:sz w:val="24"/>
          <w:szCs w:val="24"/>
        </w:rPr>
        <w:t xml:space="preserve"> and ensure familiarity with the </w:t>
      </w:r>
      <w:hyperlink r:id="rId28" w:history="1">
        <w:r w:rsidR="002C436D" w:rsidRPr="0095759A">
          <w:rPr>
            <w:rStyle w:val="Hyperlink"/>
            <w:rFonts w:cstheme="minorHAnsi"/>
            <w:sz w:val="24"/>
            <w:szCs w:val="24"/>
          </w:rPr>
          <w:t>Qualification Frameworks</w:t>
        </w:r>
      </w:hyperlink>
      <w:r w:rsidR="002C436D" w:rsidRPr="0095759A">
        <w:rPr>
          <w:rFonts w:cstheme="minorHAnsi"/>
          <w:color w:val="404040" w:themeColor="text1" w:themeTint="BF"/>
          <w:sz w:val="24"/>
          <w:szCs w:val="24"/>
        </w:rPr>
        <w:t xml:space="preserve"> which set out the different levels of higher education qualifications and the requirements of reach of these.</w:t>
      </w:r>
      <w:r w:rsidR="0095759A" w:rsidRPr="0095759A">
        <w:rPr>
          <w:rFonts w:cstheme="minorHAnsi"/>
          <w:color w:val="404040" w:themeColor="text1" w:themeTint="BF"/>
          <w:sz w:val="24"/>
          <w:szCs w:val="24"/>
        </w:rPr>
        <w:t xml:space="preserve"> </w:t>
      </w:r>
      <w:r w:rsidR="0095759A" w:rsidRPr="0095759A">
        <w:rPr>
          <w:rFonts w:ascii="Arial" w:hAnsi="Arial" w:cs="Arial"/>
          <w:sz w:val="24"/>
          <w:szCs w:val="24"/>
        </w:rPr>
        <w:t xml:space="preserve">The 2021 Higher Education Credit Framework for England, which is embedded in University of Essex courses, as well as </w:t>
      </w:r>
      <w:hyperlink r:id="rId29" w:history="1">
        <w:r w:rsidR="0095759A" w:rsidRPr="0095759A">
          <w:rPr>
            <w:rStyle w:val="Hyperlink"/>
            <w:rFonts w:ascii="Arial" w:hAnsi="Arial" w:cs="Arial"/>
            <w:sz w:val="24"/>
            <w:szCs w:val="24"/>
          </w:rPr>
          <w:t>accompanying guidance</w:t>
        </w:r>
      </w:hyperlink>
      <w:r w:rsidR="0095759A" w:rsidRPr="0095759A">
        <w:rPr>
          <w:rFonts w:ascii="Arial" w:hAnsi="Arial" w:cs="Arial"/>
          <w:sz w:val="24"/>
          <w:szCs w:val="24"/>
        </w:rPr>
        <w:t xml:space="preserve"> on how credit can be used flexibly, could be of particular interest for particular types of provision, including continuing professional development, ‘top-up’ degrees and accelerated degrees.</w:t>
      </w:r>
    </w:p>
    <w:p w14:paraId="1837DEFF" w14:textId="5BCDDB4E" w:rsidR="003821BB" w:rsidRPr="003821BB" w:rsidRDefault="003821BB" w:rsidP="003821BB">
      <w:pPr>
        <w:pStyle w:val="ListParagraph"/>
        <w:numPr>
          <w:ilvl w:val="0"/>
          <w:numId w:val="11"/>
        </w:numPr>
        <w:spacing w:before="120" w:after="0" w:line="360" w:lineRule="auto"/>
        <w:ind w:left="425" w:hanging="357"/>
        <w:contextualSpacing w:val="0"/>
        <w:rPr>
          <w:rFonts w:cstheme="minorHAnsi"/>
          <w:color w:val="404040"/>
          <w:sz w:val="32"/>
          <w:szCs w:val="32"/>
        </w:rPr>
      </w:pPr>
      <w:r w:rsidRPr="003821BB">
        <w:rPr>
          <w:rFonts w:ascii="Arial" w:hAnsi="Arial" w:cs="Arial"/>
          <w:bCs/>
          <w:color w:val="404040"/>
          <w:sz w:val="24"/>
          <w:szCs w:val="28"/>
        </w:rPr>
        <w:t xml:space="preserve">For apprenticeships, overall accountability for the quality, including the occupational standard and the end-point assessment sit with the </w:t>
      </w:r>
      <w:hyperlink r:id="rId30" w:history="1">
        <w:r w:rsidRPr="0095759A">
          <w:rPr>
            <w:rStyle w:val="Hyperlink"/>
            <w:rFonts w:ascii="Arial" w:hAnsi="Arial" w:cs="Arial"/>
            <w:bCs/>
            <w:sz w:val="24"/>
            <w:szCs w:val="28"/>
          </w:rPr>
          <w:t>Department for Education (DfE)</w:t>
        </w:r>
      </w:hyperlink>
      <w:r w:rsidRPr="003821BB">
        <w:rPr>
          <w:rFonts w:ascii="Arial" w:hAnsi="Arial" w:cs="Arial"/>
          <w:bCs/>
          <w:color w:val="404040"/>
          <w:sz w:val="24"/>
          <w:szCs w:val="28"/>
        </w:rPr>
        <w:t xml:space="preserve"> acting through the </w:t>
      </w:r>
      <w:hyperlink r:id="rId31" w:history="1">
        <w:r w:rsidRPr="0095759A">
          <w:rPr>
            <w:rStyle w:val="Hyperlink"/>
            <w:rFonts w:ascii="Arial" w:hAnsi="Arial" w:cs="Arial"/>
            <w:bCs/>
            <w:sz w:val="24"/>
            <w:szCs w:val="28"/>
          </w:rPr>
          <w:t>Education and Skills Funding Agency (ESFA)</w:t>
        </w:r>
      </w:hyperlink>
      <w:r w:rsidRPr="003821BB">
        <w:rPr>
          <w:rFonts w:ascii="Arial" w:hAnsi="Arial" w:cs="Arial"/>
          <w:bCs/>
          <w:color w:val="404040"/>
          <w:sz w:val="24"/>
          <w:szCs w:val="28"/>
        </w:rPr>
        <w:t xml:space="preserve">. The </w:t>
      </w:r>
      <w:hyperlink r:id="rId32" w:history="1">
        <w:r w:rsidRPr="0095759A">
          <w:rPr>
            <w:rStyle w:val="Hyperlink"/>
            <w:rFonts w:ascii="Arial" w:hAnsi="Arial" w:cs="Arial"/>
            <w:bCs/>
            <w:sz w:val="24"/>
            <w:szCs w:val="28"/>
          </w:rPr>
          <w:t>Institute for Apprenticeships and Technical Education</w:t>
        </w:r>
      </w:hyperlink>
      <w:r w:rsidRPr="003821BB">
        <w:rPr>
          <w:rFonts w:ascii="Arial" w:hAnsi="Arial" w:cs="Arial"/>
          <w:bCs/>
          <w:color w:val="404040"/>
          <w:sz w:val="24"/>
          <w:szCs w:val="28"/>
        </w:rPr>
        <w:t xml:space="preserve"> are responsible for the development, review, approval and publishing of apprenticeship standards upon which apprenticeship programmes are based. It is therefore essential to map to the </w:t>
      </w:r>
      <w:r w:rsidRPr="0095759A">
        <w:rPr>
          <w:rFonts w:ascii="Arial" w:hAnsi="Arial" w:cs="Arial"/>
          <w:bCs/>
          <w:color w:val="404040"/>
          <w:sz w:val="24"/>
          <w:szCs w:val="24"/>
        </w:rPr>
        <w:t>relevant apprenticeship standard when designing new higher and degree apprenticeships.</w:t>
      </w:r>
      <w:r w:rsidR="0095759A" w:rsidRPr="0095759A">
        <w:rPr>
          <w:rFonts w:ascii="Arial" w:hAnsi="Arial" w:cs="Arial"/>
          <w:color w:val="404040"/>
          <w:sz w:val="24"/>
          <w:szCs w:val="24"/>
        </w:rPr>
        <w:t xml:space="preserve"> </w:t>
      </w:r>
      <w:hyperlink r:id="rId33" w:history="1">
        <w:r w:rsidR="0095759A" w:rsidRPr="0095759A">
          <w:rPr>
            <w:rStyle w:val="Hyperlink"/>
            <w:rFonts w:ascii="Arial" w:hAnsi="Arial" w:cs="Arial"/>
            <w:sz w:val="24"/>
            <w:szCs w:val="24"/>
          </w:rPr>
          <w:t>Ofsted</w:t>
        </w:r>
      </w:hyperlink>
      <w:r w:rsidR="0095759A" w:rsidRPr="0095759A">
        <w:rPr>
          <w:rFonts w:ascii="Arial" w:hAnsi="Arial" w:cs="Arial"/>
          <w:b/>
          <w:bCs/>
          <w:color w:val="404040"/>
          <w:sz w:val="24"/>
          <w:szCs w:val="24"/>
        </w:rPr>
        <w:t xml:space="preserve"> </w:t>
      </w:r>
      <w:r w:rsidR="0095759A" w:rsidRPr="0095759A">
        <w:rPr>
          <w:rFonts w:ascii="Arial" w:hAnsi="Arial" w:cs="Arial"/>
          <w:color w:val="404040"/>
          <w:sz w:val="24"/>
          <w:szCs w:val="24"/>
        </w:rPr>
        <w:t>inspect the quality of apprenticeship training that is delivered by providers to ensure it is high-quality and meets the needs of employers and apprentices.</w:t>
      </w:r>
    </w:p>
    <w:p w14:paraId="61197AAE" w14:textId="2F82CC4D" w:rsidR="00334134" w:rsidRPr="00334134" w:rsidRDefault="00334134" w:rsidP="003821BB">
      <w:pPr>
        <w:pStyle w:val="ListParagraph"/>
        <w:numPr>
          <w:ilvl w:val="0"/>
          <w:numId w:val="11"/>
        </w:numPr>
        <w:spacing w:before="120" w:after="0" w:line="360" w:lineRule="auto"/>
        <w:ind w:left="425" w:hanging="357"/>
        <w:contextualSpacing w:val="0"/>
        <w:rPr>
          <w:rFonts w:cstheme="minorHAnsi"/>
          <w:color w:val="404040"/>
          <w:sz w:val="32"/>
          <w:szCs w:val="32"/>
        </w:rPr>
      </w:pPr>
      <w:r w:rsidRPr="00334134">
        <w:rPr>
          <w:rFonts w:ascii="Arial" w:hAnsi="Arial" w:cs="Arial"/>
          <w:color w:val="404040"/>
          <w:sz w:val="24"/>
          <w:szCs w:val="28"/>
        </w:rPr>
        <w:t xml:space="preserve">It is important to take </w:t>
      </w:r>
      <w:hyperlink r:id="rId34" w:history="1">
        <w:r w:rsidRPr="00334134">
          <w:rPr>
            <w:rStyle w:val="Hyperlink"/>
            <w:rFonts w:ascii="Arial" w:hAnsi="Arial" w:cs="Arial"/>
            <w:sz w:val="24"/>
            <w:szCs w:val="28"/>
          </w:rPr>
          <w:t>Professional, Statutory and Regulatory Body (PSRB)</w:t>
        </w:r>
      </w:hyperlink>
      <w:r w:rsidRPr="00334134">
        <w:rPr>
          <w:rFonts w:ascii="Arial" w:hAnsi="Arial" w:cs="Arial"/>
          <w:color w:val="404040"/>
          <w:sz w:val="24"/>
          <w:szCs w:val="28"/>
        </w:rPr>
        <w:t xml:space="preserve"> requirements into account when designing new, and amending existing, courses and modules, because they ensure that courses meet the professional standards and quality required for students to gain the knowledge and skills they need for their future careers.</w:t>
      </w:r>
    </w:p>
    <w:p w14:paraId="17D84012" w14:textId="72F7A889" w:rsidR="005F63DA" w:rsidRPr="005F63DA" w:rsidRDefault="00B87D7D" w:rsidP="005F63DA">
      <w:pPr>
        <w:pStyle w:val="ListParagraph"/>
        <w:numPr>
          <w:ilvl w:val="0"/>
          <w:numId w:val="11"/>
        </w:numPr>
        <w:spacing w:before="120" w:after="0" w:line="360" w:lineRule="auto"/>
        <w:ind w:left="425" w:hanging="357"/>
        <w:contextualSpacing w:val="0"/>
        <w:rPr>
          <w:rFonts w:cstheme="minorHAnsi"/>
          <w:color w:val="404040" w:themeColor="text1" w:themeTint="BF"/>
          <w:sz w:val="24"/>
          <w:szCs w:val="24"/>
        </w:rPr>
      </w:pPr>
      <w:r w:rsidRPr="00233457">
        <w:rPr>
          <w:rFonts w:cstheme="minorHAnsi"/>
          <w:color w:val="404040" w:themeColor="text1" w:themeTint="BF"/>
          <w:sz w:val="24"/>
          <w:szCs w:val="24"/>
        </w:rPr>
        <w:t xml:space="preserve">Other external organisations may also offer useful guidance, for example </w:t>
      </w:r>
      <w:hyperlink r:id="rId35" w:history="1">
        <w:r w:rsidRPr="00233457">
          <w:rPr>
            <w:rStyle w:val="Hyperlink"/>
            <w:rFonts w:cstheme="minorHAnsi"/>
            <w:sz w:val="24"/>
            <w:szCs w:val="24"/>
          </w:rPr>
          <w:t>AdvanceHE</w:t>
        </w:r>
      </w:hyperlink>
      <w:r w:rsidRPr="00233457">
        <w:rPr>
          <w:rFonts w:cstheme="minorHAnsi"/>
          <w:color w:val="404040" w:themeColor="text1" w:themeTint="BF"/>
          <w:sz w:val="24"/>
          <w:szCs w:val="24"/>
        </w:rPr>
        <w:t>.</w:t>
      </w:r>
      <w:r w:rsidR="00AF5EA1">
        <w:rPr>
          <w:rFonts w:cstheme="minorHAnsi"/>
          <w:color w:val="404040" w:themeColor="text1" w:themeTint="BF"/>
          <w:sz w:val="24"/>
          <w:szCs w:val="24"/>
        </w:rPr>
        <w:t xml:space="preserve"> </w:t>
      </w:r>
    </w:p>
    <w:p w14:paraId="372F39F2" w14:textId="77777777" w:rsidR="00233457" w:rsidRDefault="00233457" w:rsidP="003821BB">
      <w:pPr>
        <w:spacing w:after="200" w:line="360" w:lineRule="auto"/>
        <w:rPr>
          <w:rFonts w:ascii="Arial Black" w:eastAsiaTheme="majorEastAsia" w:hAnsi="Arial Black" w:cstheme="minorHAnsi"/>
          <w:b/>
          <w:bCs/>
          <w:color w:val="007A87"/>
          <w:sz w:val="32"/>
          <w:szCs w:val="32"/>
        </w:rPr>
      </w:pPr>
      <w:r>
        <w:rPr>
          <w:rFonts w:ascii="Arial Black" w:hAnsi="Arial Black"/>
          <w:color w:val="007A87"/>
        </w:rPr>
        <w:br w:type="page"/>
      </w:r>
    </w:p>
    <w:p w14:paraId="0941A489" w14:textId="4762DFC4" w:rsidR="0043469C" w:rsidRPr="00B617E2" w:rsidRDefault="00E71FF4" w:rsidP="00CE5AA3">
      <w:pPr>
        <w:pStyle w:val="Heading1"/>
        <w:spacing w:before="200" w:after="120"/>
        <w:rPr>
          <w:rFonts w:ascii="Arial Black" w:hAnsi="Arial Black"/>
          <w:color w:val="007A87"/>
        </w:rPr>
      </w:pPr>
      <w:hyperlink r:id="rId36" w:history="1">
        <w:r w:rsidR="0043469C" w:rsidRPr="00B617E2">
          <w:rPr>
            <w:rFonts w:ascii="Arial Black" w:hAnsi="Arial Black"/>
            <w:color w:val="007A87"/>
          </w:rPr>
          <w:t>Further advice and guidance</w:t>
        </w:r>
      </w:hyperlink>
    </w:p>
    <w:tbl>
      <w:tblPr>
        <w:tblStyle w:val="GridTable5Dark-Accent6"/>
        <w:tblW w:w="10366" w:type="dxa"/>
        <w:tblLayout w:type="fixed"/>
        <w:tblLook w:val="0420" w:firstRow="1" w:lastRow="0" w:firstColumn="0" w:lastColumn="0" w:noHBand="0" w:noVBand="1"/>
      </w:tblPr>
      <w:tblGrid>
        <w:gridCol w:w="4399"/>
        <w:gridCol w:w="5967"/>
      </w:tblGrid>
      <w:tr w:rsidR="00886127" w:rsidRPr="006F3535" w14:paraId="5161B36B" w14:textId="77777777" w:rsidTr="00B617E2">
        <w:trPr>
          <w:cnfStyle w:val="100000000000" w:firstRow="1" w:lastRow="0" w:firstColumn="0" w:lastColumn="0" w:oddVBand="0" w:evenVBand="0" w:oddHBand="0" w:evenHBand="0" w:firstRowFirstColumn="0" w:firstRowLastColumn="0" w:lastRowFirstColumn="0" w:lastRowLastColumn="0"/>
          <w:trHeight w:val="320"/>
        </w:trPr>
        <w:tc>
          <w:tcPr>
            <w:tcW w:w="4399" w:type="dxa"/>
            <w:shd w:val="clear" w:color="auto" w:fill="007A87"/>
            <w:hideMark/>
          </w:tcPr>
          <w:p w14:paraId="01C12D99" w14:textId="512AB902" w:rsidR="00886127" w:rsidRPr="002E3BD2" w:rsidRDefault="00886127" w:rsidP="00BA109E">
            <w:pPr>
              <w:spacing w:before="40" w:after="40"/>
              <w:rPr>
                <w:sz w:val="24"/>
                <w:szCs w:val="24"/>
              </w:rPr>
            </w:pPr>
            <w:r w:rsidRPr="002E3BD2">
              <w:rPr>
                <w:sz w:val="24"/>
                <w:szCs w:val="24"/>
              </w:rPr>
              <w:t>Area</w:t>
            </w:r>
          </w:p>
        </w:tc>
        <w:tc>
          <w:tcPr>
            <w:tcW w:w="5967" w:type="dxa"/>
            <w:shd w:val="clear" w:color="auto" w:fill="007A87"/>
            <w:hideMark/>
          </w:tcPr>
          <w:p w14:paraId="6AFEF09D" w14:textId="6EEEFA91" w:rsidR="00886127" w:rsidRPr="002E3BD2" w:rsidRDefault="00886127" w:rsidP="00BA109E">
            <w:pPr>
              <w:spacing w:before="40" w:after="40"/>
              <w:rPr>
                <w:b w:val="0"/>
                <w:sz w:val="24"/>
                <w:szCs w:val="24"/>
              </w:rPr>
            </w:pPr>
            <w:r w:rsidRPr="002E3BD2">
              <w:rPr>
                <w:sz w:val="24"/>
                <w:szCs w:val="24"/>
              </w:rPr>
              <w:t>Team</w:t>
            </w:r>
            <w:r w:rsidR="006D3054" w:rsidRPr="002E3BD2">
              <w:rPr>
                <w:sz w:val="24"/>
                <w:szCs w:val="24"/>
              </w:rPr>
              <w:t>s</w:t>
            </w:r>
            <w:r w:rsidRPr="002E3BD2">
              <w:rPr>
                <w:sz w:val="24"/>
                <w:szCs w:val="24"/>
              </w:rPr>
              <w:t xml:space="preserve"> to contact</w:t>
            </w:r>
          </w:p>
        </w:tc>
      </w:tr>
      <w:tr w:rsidR="00886127" w:rsidRPr="00251874" w14:paraId="2C07E3C7" w14:textId="77777777" w:rsidTr="00EE72C9">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2C2CEE82" w14:textId="3A6F0433" w:rsidR="00886127" w:rsidRPr="002E3BD2" w:rsidRDefault="004E240C" w:rsidP="00BA109E">
            <w:pPr>
              <w:spacing w:before="40" w:after="40"/>
              <w:rPr>
                <w:color w:val="404040" w:themeColor="text1" w:themeTint="BF"/>
                <w:sz w:val="24"/>
                <w:szCs w:val="24"/>
              </w:rPr>
            </w:pPr>
            <w:r w:rsidRPr="002E3BD2">
              <w:rPr>
                <w:color w:val="404040" w:themeColor="text1" w:themeTint="BF"/>
                <w:sz w:val="24"/>
                <w:szCs w:val="24"/>
              </w:rPr>
              <w:t>H</w:t>
            </w:r>
            <w:r w:rsidR="00CD03A2" w:rsidRPr="002E3BD2">
              <w:rPr>
                <w:color w:val="404040" w:themeColor="text1" w:themeTint="BF"/>
                <w:sz w:val="24"/>
                <w:szCs w:val="24"/>
              </w:rPr>
              <w:t xml:space="preserve">ow to seek approval for new </w:t>
            </w:r>
            <w:r w:rsidR="00886127" w:rsidRPr="002E3BD2">
              <w:rPr>
                <w:color w:val="404040" w:themeColor="text1" w:themeTint="BF"/>
                <w:sz w:val="24"/>
                <w:szCs w:val="24"/>
              </w:rPr>
              <w:t>course</w:t>
            </w:r>
            <w:r w:rsidR="00CD03A2" w:rsidRPr="002E3BD2">
              <w:rPr>
                <w:color w:val="404040" w:themeColor="text1" w:themeTint="BF"/>
                <w:sz w:val="24"/>
                <w:szCs w:val="24"/>
              </w:rPr>
              <w:t>s and modules</w:t>
            </w:r>
          </w:p>
        </w:tc>
        <w:tc>
          <w:tcPr>
            <w:tcW w:w="5967" w:type="dxa"/>
            <w:shd w:val="clear" w:color="auto" w:fill="F2F2F2"/>
          </w:tcPr>
          <w:p w14:paraId="2E3F11A6" w14:textId="41E016EF" w:rsidR="006D3054" w:rsidRPr="002E3BD2" w:rsidRDefault="00E71FF4" w:rsidP="00BA109E">
            <w:pPr>
              <w:spacing w:before="40" w:after="40"/>
              <w:rPr>
                <w:color w:val="404040" w:themeColor="text1" w:themeTint="BF"/>
                <w:sz w:val="24"/>
                <w:szCs w:val="24"/>
              </w:rPr>
            </w:pPr>
            <w:hyperlink r:id="rId37" w:history="1">
              <w:r w:rsidR="00886127" w:rsidRPr="002E3BD2">
                <w:rPr>
                  <w:rStyle w:val="Hyperlink"/>
                  <w:sz w:val="24"/>
                  <w:szCs w:val="24"/>
                </w:rPr>
                <w:t>Qual</w:t>
              </w:r>
              <w:r w:rsidR="006D3054" w:rsidRPr="002E3BD2">
                <w:rPr>
                  <w:rStyle w:val="Hyperlink"/>
                  <w:sz w:val="24"/>
                  <w:szCs w:val="24"/>
                </w:rPr>
                <w:t>ity and Academic Development</w:t>
              </w:r>
            </w:hyperlink>
          </w:p>
          <w:p w14:paraId="52C6B483" w14:textId="6F783EE8" w:rsidR="00886127" w:rsidRPr="002E3BD2" w:rsidRDefault="00E71FF4" w:rsidP="00BA109E">
            <w:pPr>
              <w:spacing w:before="40" w:after="40"/>
              <w:rPr>
                <w:color w:val="404040" w:themeColor="text1" w:themeTint="BF"/>
                <w:sz w:val="24"/>
                <w:szCs w:val="24"/>
              </w:rPr>
            </w:pPr>
            <w:hyperlink r:id="rId38" w:history="1">
              <w:r w:rsidR="00886127" w:rsidRPr="002E3BD2">
                <w:rPr>
                  <w:rStyle w:val="Hyperlink"/>
                  <w:sz w:val="24"/>
                  <w:szCs w:val="24"/>
                </w:rPr>
                <w:t>Postgraduate Research Education team</w:t>
              </w:r>
            </w:hyperlink>
          </w:p>
        </w:tc>
      </w:tr>
      <w:tr w:rsidR="00886127" w:rsidRPr="00251874" w14:paraId="67D6B482" w14:textId="77777777" w:rsidTr="00EE72C9">
        <w:trPr>
          <w:trHeight w:val="18"/>
        </w:trPr>
        <w:tc>
          <w:tcPr>
            <w:tcW w:w="4399" w:type="dxa"/>
            <w:shd w:val="clear" w:color="auto" w:fill="auto"/>
          </w:tcPr>
          <w:p w14:paraId="45BA0922" w14:textId="77777777"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Apprenticeships and summer schools</w:t>
            </w:r>
          </w:p>
        </w:tc>
        <w:tc>
          <w:tcPr>
            <w:tcW w:w="5967" w:type="dxa"/>
            <w:shd w:val="clear" w:color="auto" w:fill="auto"/>
          </w:tcPr>
          <w:p w14:paraId="0CFD2DE7" w14:textId="77777777" w:rsidR="00886127" w:rsidRPr="002E3BD2" w:rsidRDefault="00E71FF4" w:rsidP="00BA109E">
            <w:pPr>
              <w:spacing w:before="40" w:after="40"/>
              <w:rPr>
                <w:color w:val="404040" w:themeColor="text1" w:themeTint="BF"/>
                <w:sz w:val="24"/>
                <w:szCs w:val="24"/>
              </w:rPr>
            </w:pPr>
            <w:hyperlink r:id="rId39" w:history="1">
              <w:r w:rsidR="00886127" w:rsidRPr="002E3BD2">
                <w:rPr>
                  <w:rStyle w:val="Hyperlink"/>
                  <w:sz w:val="24"/>
                  <w:szCs w:val="24"/>
                </w:rPr>
                <w:t>Essex Apprenticeships and Summer Schools team</w:t>
              </w:r>
            </w:hyperlink>
          </w:p>
        </w:tc>
      </w:tr>
      <w:tr w:rsidR="00505AFF" w:rsidRPr="00251874" w14:paraId="77A3AE64"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1F6C164E" w14:textId="11A8FBCC" w:rsidR="00505AFF" w:rsidRPr="002E3BD2" w:rsidRDefault="00505AFF" w:rsidP="00BA109E">
            <w:pPr>
              <w:spacing w:before="40" w:after="40"/>
              <w:rPr>
                <w:color w:val="404040" w:themeColor="text1" w:themeTint="BF"/>
                <w:sz w:val="24"/>
                <w:szCs w:val="24"/>
              </w:rPr>
            </w:pPr>
            <w:r w:rsidRPr="002E3BD2">
              <w:rPr>
                <w:color w:val="404040" w:themeColor="text1" w:themeTint="BF"/>
                <w:sz w:val="24"/>
                <w:szCs w:val="24"/>
              </w:rPr>
              <w:t>Sector guidance and reference points</w:t>
            </w:r>
          </w:p>
        </w:tc>
        <w:tc>
          <w:tcPr>
            <w:tcW w:w="5967" w:type="dxa"/>
            <w:shd w:val="clear" w:color="auto" w:fill="F2F2F2"/>
          </w:tcPr>
          <w:p w14:paraId="10A07B37" w14:textId="5025ACBF" w:rsidR="00505AFF" w:rsidRPr="002E3BD2" w:rsidRDefault="00E71FF4" w:rsidP="00BA109E">
            <w:pPr>
              <w:spacing w:before="40" w:after="40"/>
              <w:rPr>
                <w:sz w:val="24"/>
                <w:szCs w:val="24"/>
              </w:rPr>
            </w:pPr>
            <w:hyperlink r:id="rId40" w:history="1">
              <w:r w:rsidR="00505AFF" w:rsidRPr="002E3BD2">
                <w:rPr>
                  <w:rStyle w:val="Hyperlink"/>
                  <w:sz w:val="24"/>
                  <w:szCs w:val="24"/>
                </w:rPr>
                <w:t>Guidance on internal and external reference points</w:t>
              </w:r>
            </w:hyperlink>
          </w:p>
        </w:tc>
      </w:tr>
      <w:tr w:rsidR="00886127" w:rsidRPr="00251874" w14:paraId="24ABD0B4" w14:textId="77777777" w:rsidTr="00505AFF">
        <w:trPr>
          <w:trHeight w:val="18"/>
        </w:trPr>
        <w:tc>
          <w:tcPr>
            <w:tcW w:w="4399" w:type="dxa"/>
            <w:shd w:val="clear" w:color="auto" w:fill="FFFFFF" w:themeFill="background1"/>
          </w:tcPr>
          <w:p w14:paraId="3B15A0F8" w14:textId="1F156751"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 xml:space="preserve">Distance learning / </w:t>
            </w:r>
            <w:r w:rsidR="007A6F2B" w:rsidRPr="002E3BD2">
              <w:rPr>
                <w:color w:val="404040" w:themeColor="text1" w:themeTint="BF"/>
                <w:sz w:val="24"/>
                <w:szCs w:val="24"/>
              </w:rPr>
              <w:t>Technology-Enhanced</w:t>
            </w:r>
            <w:r w:rsidRPr="002E3BD2">
              <w:rPr>
                <w:color w:val="404040" w:themeColor="text1" w:themeTint="BF"/>
                <w:sz w:val="24"/>
                <w:szCs w:val="24"/>
              </w:rPr>
              <w:t xml:space="preserve"> learning</w:t>
            </w:r>
          </w:p>
        </w:tc>
        <w:tc>
          <w:tcPr>
            <w:tcW w:w="5967" w:type="dxa"/>
            <w:shd w:val="clear" w:color="auto" w:fill="FFFFFF" w:themeFill="background1"/>
          </w:tcPr>
          <w:p w14:paraId="47CD2907" w14:textId="77777777" w:rsidR="00886127" w:rsidRPr="002E3BD2" w:rsidRDefault="00E71FF4" w:rsidP="00BA109E">
            <w:pPr>
              <w:spacing w:before="40" w:after="40"/>
              <w:rPr>
                <w:color w:val="404040" w:themeColor="text1" w:themeTint="BF"/>
                <w:sz w:val="24"/>
                <w:szCs w:val="24"/>
              </w:rPr>
            </w:pPr>
            <w:hyperlink r:id="rId41" w:history="1">
              <w:r w:rsidR="00886127" w:rsidRPr="002E3BD2">
                <w:rPr>
                  <w:rStyle w:val="Hyperlink"/>
                  <w:sz w:val="24"/>
                  <w:szCs w:val="24"/>
                </w:rPr>
                <w:t>Organisational Development / Learning Technology team</w:t>
              </w:r>
            </w:hyperlink>
          </w:p>
        </w:tc>
      </w:tr>
      <w:tr w:rsidR="002F6831" w:rsidRPr="00251874" w14:paraId="667CFACE"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0F826217" w14:textId="5DE74424" w:rsidR="002F6831" w:rsidRPr="002E3BD2" w:rsidRDefault="002F6831" w:rsidP="00BA109E">
            <w:pPr>
              <w:spacing w:before="40" w:after="40"/>
              <w:rPr>
                <w:color w:val="404040" w:themeColor="text1" w:themeTint="BF"/>
                <w:sz w:val="24"/>
                <w:szCs w:val="24"/>
              </w:rPr>
            </w:pPr>
            <w:r w:rsidRPr="002E3BD2">
              <w:rPr>
                <w:color w:val="404040" w:themeColor="text1" w:themeTint="BF"/>
                <w:sz w:val="24"/>
                <w:szCs w:val="24"/>
              </w:rPr>
              <w:t>Immigration and visa requirements to take into account for overseas students</w:t>
            </w:r>
          </w:p>
        </w:tc>
        <w:tc>
          <w:tcPr>
            <w:tcW w:w="5967" w:type="dxa"/>
            <w:shd w:val="clear" w:color="auto" w:fill="F2F2F2"/>
          </w:tcPr>
          <w:p w14:paraId="17F9D56A" w14:textId="415C8BEC" w:rsidR="002F6831" w:rsidRPr="002E3BD2" w:rsidRDefault="00E71FF4" w:rsidP="00BA109E">
            <w:pPr>
              <w:spacing w:before="40" w:after="40"/>
              <w:rPr>
                <w:sz w:val="24"/>
                <w:szCs w:val="24"/>
              </w:rPr>
            </w:pPr>
            <w:hyperlink r:id="rId42" w:history="1">
              <w:r w:rsidR="00A71A12" w:rsidRPr="002E3BD2">
                <w:rPr>
                  <w:rStyle w:val="Hyperlink"/>
                  <w:sz w:val="24"/>
                  <w:szCs w:val="24"/>
                </w:rPr>
                <w:t>International</w:t>
              </w:r>
              <w:r w:rsidR="002F6831" w:rsidRPr="002E3BD2">
                <w:rPr>
                  <w:rStyle w:val="Hyperlink"/>
                  <w:sz w:val="24"/>
                  <w:szCs w:val="24"/>
                </w:rPr>
                <w:t xml:space="preserve"> Services team</w:t>
              </w:r>
            </w:hyperlink>
          </w:p>
        </w:tc>
      </w:tr>
      <w:tr w:rsidR="00E86B65" w:rsidRPr="00251874" w14:paraId="6D4E1E7E" w14:textId="77777777" w:rsidTr="00505AFF">
        <w:trPr>
          <w:trHeight w:val="18"/>
        </w:trPr>
        <w:tc>
          <w:tcPr>
            <w:tcW w:w="4399" w:type="dxa"/>
            <w:shd w:val="clear" w:color="auto" w:fill="FFFFFF" w:themeFill="background1"/>
          </w:tcPr>
          <w:p w14:paraId="38BDE116" w14:textId="49A1A80F" w:rsidR="00E86B65" w:rsidRPr="002E3BD2" w:rsidRDefault="00E86B65" w:rsidP="00BA109E">
            <w:pPr>
              <w:spacing w:before="40" w:after="40"/>
              <w:rPr>
                <w:color w:val="404040" w:themeColor="text1" w:themeTint="BF"/>
                <w:sz w:val="24"/>
                <w:szCs w:val="24"/>
              </w:rPr>
            </w:pPr>
            <w:r w:rsidRPr="002E3BD2">
              <w:rPr>
                <w:color w:val="404040" w:themeColor="text1" w:themeTint="BF"/>
                <w:sz w:val="24"/>
                <w:szCs w:val="24"/>
              </w:rPr>
              <w:t>Library</w:t>
            </w:r>
            <w:r w:rsidR="004E240C" w:rsidRPr="002E3BD2">
              <w:rPr>
                <w:color w:val="404040" w:themeColor="text1" w:themeTint="BF"/>
                <w:sz w:val="24"/>
                <w:szCs w:val="24"/>
              </w:rPr>
              <w:t xml:space="preserve"> resources</w:t>
            </w:r>
          </w:p>
        </w:tc>
        <w:tc>
          <w:tcPr>
            <w:tcW w:w="5967" w:type="dxa"/>
            <w:shd w:val="clear" w:color="auto" w:fill="FFFFFF" w:themeFill="background1"/>
          </w:tcPr>
          <w:p w14:paraId="6770CBFA" w14:textId="5936AB2E" w:rsidR="00E86B65" w:rsidRPr="002E3BD2" w:rsidRDefault="00E71FF4" w:rsidP="00BA109E">
            <w:pPr>
              <w:spacing w:before="40" w:after="40"/>
              <w:rPr>
                <w:sz w:val="24"/>
                <w:szCs w:val="24"/>
              </w:rPr>
            </w:pPr>
            <w:hyperlink r:id="rId43" w:history="1">
              <w:r w:rsidR="00E86B65" w:rsidRPr="002E3BD2">
                <w:rPr>
                  <w:rStyle w:val="Hyperlink"/>
                  <w:sz w:val="24"/>
                  <w:szCs w:val="24"/>
                </w:rPr>
                <w:t>Library Services team</w:t>
              </w:r>
            </w:hyperlink>
          </w:p>
        </w:tc>
      </w:tr>
      <w:tr w:rsidR="00E86B65" w:rsidRPr="00251874" w14:paraId="02E9133E"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06589C6B" w14:textId="77777777" w:rsidR="00E86B65" w:rsidRPr="002E3BD2" w:rsidRDefault="00E86B65" w:rsidP="00BA109E">
            <w:pPr>
              <w:spacing w:before="40" w:after="40"/>
              <w:rPr>
                <w:color w:val="404040" w:themeColor="text1" w:themeTint="BF"/>
                <w:sz w:val="24"/>
                <w:szCs w:val="24"/>
              </w:rPr>
            </w:pPr>
            <w:r w:rsidRPr="002E3BD2">
              <w:rPr>
                <w:color w:val="404040" w:themeColor="text1" w:themeTint="BF"/>
                <w:sz w:val="24"/>
                <w:szCs w:val="24"/>
              </w:rPr>
              <w:t>Market research</w:t>
            </w:r>
          </w:p>
        </w:tc>
        <w:tc>
          <w:tcPr>
            <w:tcW w:w="5967" w:type="dxa"/>
            <w:shd w:val="clear" w:color="auto" w:fill="F2F2F2"/>
          </w:tcPr>
          <w:p w14:paraId="1075667A" w14:textId="77777777" w:rsidR="00E86B65" w:rsidRPr="002E3BD2" w:rsidRDefault="00E71FF4" w:rsidP="00BA109E">
            <w:pPr>
              <w:spacing w:before="40" w:after="40"/>
              <w:rPr>
                <w:sz w:val="24"/>
                <w:szCs w:val="24"/>
              </w:rPr>
            </w:pPr>
            <w:hyperlink r:id="rId44" w:history="1">
              <w:r w:rsidR="00E86B65" w:rsidRPr="002E3BD2">
                <w:rPr>
                  <w:rStyle w:val="Hyperlink"/>
                  <w:sz w:val="24"/>
                  <w:szCs w:val="24"/>
                </w:rPr>
                <w:t>Marketing and Student Recruitment</w:t>
              </w:r>
            </w:hyperlink>
            <w:r w:rsidR="00E86B65" w:rsidRPr="002E3BD2">
              <w:rPr>
                <w:sz w:val="24"/>
                <w:szCs w:val="24"/>
              </w:rPr>
              <w:t xml:space="preserve"> (also see </w:t>
            </w:r>
            <w:hyperlink r:id="rId45" w:history="1">
              <w:r w:rsidR="00E86B65" w:rsidRPr="002E3BD2">
                <w:rPr>
                  <w:rStyle w:val="Hyperlink"/>
                  <w:sz w:val="24"/>
                  <w:szCs w:val="24"/>
                </w:rPr>
                <w:t>online guide</w:t>
              </w:r>
            </w:hyperlink>
            <w:r w:rsidR="00E86B65" w:rsidRPr="002E3BD2">
              <w:rPr>
                <w:sz w:val="24"/>
                <w:szCs w:val="24"/>
              </w:rPr>
              <w:t>)</w:t>
            </w:r>
          </w:p>
        </w:tc>
      </w:tr>
      <w:tr w:rsidR="00886127" w:rsidRPr="00251874" w14:paraId="685D02E9" w14:textId="77777777" w:rsidTr="00505AFF">
        <w:trPr>
          <w:trHeight w:val="18"/>
        </w:trPr>
        <w:tc>
          <w:tcPr>
            <w:tcW w:w="4399" w:type="dxa"/>
            <w:shd w:val="clear" w:color="auto" w:fill="FFFFFF" w:themeFill="background1"/>
          </w:tcPr>
          <w:p w14:paraId="6E725717" w14:textId="77777777"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Modular study and credit accumulation</w:t>
            </w:r>
          </w:p>
        </w:tc>
        <w:tc>
          <w:tcPr>
            <w:tcW w:w="5967" w:type="dxa"/>
            <w:shd w:val="clear" w:color="auto" w:fill="FFFFFF" w:themeFill="background1"/>
          </w:tcPr>
          <w:p w14:paraId="3383F50F" w14:textId="64076B05" w:rsidR="00886127" w:rsidRPr="002E3BD2" w:rsidRDefault="00E71FF4" w:rsidP="00BA109E">
            <w:pPr>
              <w:spacing w:before="40" w:after="40"/>
              <w:rPr>
                <w:color w:val="404040" w:themeColor="text1" w:themeTint="BF"/>
                <w:sz w:val="24"/>
                <w:szCs w:val="24"/>
              </w:rPr>
            </w:pPr>
            <w:hyperlink r:id="rId46" w:history="1">
              <w:r w:rsidR="00886127" w:rsidRPr="002E3BD2">
                <w:rPr>
                  <w:rStyle w:val="Hyperlink"/>
                  <w:sz w:val="24"/>
                  <w:szCs w:val="24"/>
                </w:rPr>
                <w:t>Quality and Academic Development</w:t>
              </w:r>
            </w:hyperlink>
          </w:p>
        </w:tc>
      </w:tr>
      <w:tr w:rsidR="00886127" w:rsidRPr="00251874" w14:paraId="3A84CFC8"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534582E7" w14:textId="159AAEFA"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Professiona</w:t>
            </w:r>
            <w:r w:rsidR="00E86B65" w:rsidRPr="002E3BD2">
              <w:rPr>
                <w:color w:val="404040" w:themeColor="text1" w:themeTint="BF"/>
                <w:sz w:val="24"/>
                <w:szCs w:val="24"/>
              </w:rPr>
              <w:t>l, statutory and regulatory bodies</w:t>
            </w:r>
          </w:p>
        </w:tc>
        <w:tc>
          <w:tcPr>
            <w:tcW w:w="5967" w:type="dxa"/>
            <w:shd w:val="clear" w:color="auto" w:fill="F2F2F2"/>
          </w:tcPr>
          <w:p w14:paraId="6CF17498" w14:textId="77777777" w:rsidR="002F6831" w:rsidRPr="002E3BD2" w:rsidRDefault="00E71FF4" w:rsidP="00BA109E">
            <w:pPr>
              <w:spacing w:before="40" w:after="40"/>
              <w:rPr>
                <w:rStyle w:val="Hyperlink"/>
                <w:sz w:val="24"/>
                <w:szCs w:val="24"/>
              </w:rPr>
            </w:pPr>
            <w:hyperlink r:id="rId47" w:history="1">
              <w:r w:rsidR="00886127" w:rsidRPr="002E3BD2">
                <w:rPr>
                  <w:rStyle w:val="Hyperlink"/>
                  <w:sz w:val="24"/>
                  <w:szCs w:val="24"/>
                </w:rPr>
                <w:t>Quality and Academic Development</w:t>
              </w:r>
            </w:hyperlink>
          </w:p>
          <w:p w14:paraId="2CBBC517" w14:textId="2FD182AD" w:rsidR="002F6831" w:rsidRPr="002E3BD2" w:rsidRDefault="002F6831" w:rsidP="004F4A3C">
            <w:pPr>
              <w:pStyle w:val="ListParagraph"/>
              <w:spacing w:before="40" w:after="40" w:line="300" w:lineRule="auto"/>
              <w:contextualSpacing w:val="0"/>
              <w:rPr>
                <w:color w:val="0000FF"/>
                <w:sz w:val="24"/>
                <w:szCs w:val="24"/>
                <w:u w:val="single"/>
              </w:rPr>
            </w:pPr>
            <w:r w:rsidRPr="002E3BD2">
              <w:rPr>
                <w:rFonts w:cstheme="minorHAnsi"/>
                <w:color w:val="404040" w:themeColor="text1" w:themeTint="BF"/>
                <w:sz w:val="24"/>
                <w:szCs w:val="24"/>
              </w:rPr>
              <w:t>You may also need to contact other departments where accreditation needs to be taken into account (e.g. EBS)</w:t>
            </w:r>
          </w:p>
        </w:tc>
      </w:tr>
      <w:tr w:rsidR="00886127" w:rsidRPr="00251874" w14:paraId="216E8949" w14:textId="77777777" w:rsidTr="00505AFF">
        <w:trPr>
          <w:trHeight w:val="18"/>
        </w:trPr>
        <w:tc>
          <w:tcPr>
            <w:tcW w:w="4399" w:type="dxa"/>
            <w:shd w:val="clear" w:color="auto" w:fill="FFFFFF" w:themeFill="background1"/>
          </w:tcPr>
          <w:p w14:paraId="14240FFD" w14:textId="332E6CD3"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Resourcing</w:t>
            </w:r>
            <w:r w:rsidR="00E86B65" w:rsidRPr="002E3BD2">
              <w:rPr>
                <w:color w:val="404040" w:themeColor="text1" w:themeTint="BF"/>
                <w:sz w:val="24"/>
                <w:szCs w:val="24"/>
              </w:rPr>
              <w:t xml:space="preserve"> and alignment with Faculty and Department plans</w:t>
            </w:r>
          </w:p>
        </w:tc>
        <w:tc>
          <w:tcPr>
            <w:tcW w:w="5967" w:type="dxa"/>
            <w:shd w:val="clear" w:color="auto" w:fill="FFFFFF" w:themeFill="background1"/>
          </w:tcPr>
          <w:p w14:paraId="468618B4" w14:textId="77777777" w:rsidR="00886127" w:rsidRPr="002E3BD2" w:rsidRDefault="00E71FF4" w:rsidP="00BA109E">
            <w:pPr>
              <w:spacing w:before="40" w:after="40"/>
              <w:rPr>
                <w:color w:val="404040" w:themeColor="text1" w:themeTint="BF"/>
                <w:sz w:val="24"/>
                <w:szCs w:val="24"/>
              </w:rPr>
            </w:pPr>
            <w:hyperlink r:id="rId48" w:history="1">
              <w:r w:rsidR="00886127" w:rsidRPr="002E3BD2">
                <w:rPr>
                  <w:rStyle w:val="Hyperlink"/>
                  <w:sz w:val="24"/>
                  <w:szCs w:val="24"/>
                </w:rPr>
                <w:t>Faculty Managers and Faculty Accountants</w:t>
              </w:r>
            </w:hyperlink>
          </w:p>
        </w:tc>
      </w:tr>
      <w:tr w:rsidR="00886127" w:rsidRPr="00251874" w14:paraId="09FCE67C"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28956B78" w14:textId="77777777"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Rules of Assessment</w:t>
            </w:r>
          </w:p>
        </w:tc>
        <w:tc>
          <w:tcPr>
            <w:tcW w:w="5967" w:type="dxa"/>
            <w:shd w:val="clear" w:color="auto" w:fill="F2F2F2"/>
          </w:tcPr>
          <w:p w14:paraId="0748AC0B" w14:textId="77777777" w:rsidR="00886127" w:rsidRPr="002E3BD2" w:rsidRDefault="00E71FF4" w:rsidP="00BA109E">
            <w:pPr>
              <w:spacing w:before="40" w:after="40"/>
              <w:rPr>
                <w:color w:val="404040" w:themeColor="text1" w:themeTint="BF"/>
                <w:sz w:val="24"/>
                <w:szCs w:val="24"/>
              </w:rPr>
            </w:pPr>
            <w:hyperlink r:id="rId49" w:history="1">
              <w:r w:rsidR="00886127" w:rsidRPr="002E3BD2">
                <w:rPr>
                  <w:rStyle w:val="Hyperlink"/>
                  <w:sz w:val="24"/>
                  <w:szCs w:val="24"/>
                </w:rPr>
                <w:t>Quality and Academic Development or the Assessment team</w:t>
              </w:r>
            </w:hyperlink>
          </w:p>
        </w:tc>
      </w:tr>
      <w:tr w:rsidR="00886127" w:rsidRPr="00251874" w14:paraId="1A4A0CFE" w14:textId="77777777" w:rsidTr="00505AFF">
        <w:trPr>
          <w:trHeight w:val="18"/>
        </w:trPr>
        <w:tc>
          <w:tcPr>
            <w:tcW w:w="4399" w:type="dxa"/>
            <w:shd w:val="clear" w:color="auto" w:fill="FFFFFF" w:themeFill="background1"/>
          </w:tcPr>
          <w:p w14:paraId="4622D746" w14:textId="77777777"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Student mobility</w:t>
            </w:r>
          </w:p>
        </w:tc>
        <w:tc>
          <w:tcPr>
            <w:tcW w:w="5967" w:type="dxa"/>
            <w:shd w:val="clear" w:color="auto" w:fill="FFFFFF" w:themeFill="background1"/>
          </w:tcPr>
          <w:p w14:paraId="41A9630F" w14:textId="77777777" w:rsidR="00886127" w:rsidRPr="002E3BD2" w:rsidRDefault="00E71FF4" w:rsidP="00BA109E">
            <w:pPr>
              <w:spacing w:before="40" w:after="40"/>
              <w:rPr>
                <w:color w:val="404040" w:themeColor="text1" w:themeTint="BF"/>
                <w:sz w:val="24"/>
                <w:szCs w:val="24"/>
              </w:rPr>
            </w:pPr>
            <w:hyperlink r:id="rId50" w:history="1">
              <w:r w:rsidR="00886127" w:rsidRPr="002E3BD2">
                <w:rPr>
                  <w:rStyle w:val="Hyperlink"/>
                  <w:sz w:val="24"/>
                  <w:szCs w:val="24"/>
                </w:rPr>
                <w:t>Essex Abroad team</w:t>
              </w:r>
            </w:hyperlink>
          </w:p>
        </w:tc>
      </w:tr>
      <w:tr w:rsidR="00CF0EE5" w:rsidRPr="00251874" w14:paraId="7E0B645D"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53B51C94" w14:textId="77777777" w:rsidR="00CF0EE5" w:rsidRPr="002E3BD2" w:rsidRDefault="00CF0EE5" w:rsidP="00BA109E">
            <w:pPr>
              <w:spacing w:before="40" w:after="40"/>
              <w:rPr>
                <w:color w:val="404040" w:themeColor="text1" w:themeTint="BF"/>
                <w:sz w:val="24"/>
                <w:szCs w:val="24"/>
              </w:rPr>
            </w:pPr>
            <w:r w:rsidRPr="002E3BD2">
              <w:rPr>
                <w:color w:val="404040" w:themeColor="text1" w:themeTint="BF"/>
                <w:sz w:val="24"/>
                <w:szCs w:val="24"/>
              </w:rPr>
              <w:t>Timetabling</w:t>
            </w:r>
          </w:p>
        </w:tc>
        <w:tc>
          <w:tcPr>
            <w:tcW w:w="5967" w:type="dxa"/>
            <w:shd w:val="clear" w:color="auto" w:fill="F2F2F2"/>
          </w:tcPr>
          <w:p w14:paraId="66163C12" w14:textId="77777777" w:rsidR="00CF0EE5" w:rsidRPr="002E3BD2" w:rsidRDefault="00E71FF4" w:rsidP="00BA109E">
            <w:pPr>
              <w:spacing w:before="40" w:after="40"/>
              <w:rPr>
                <w:sz w:val="24"/>
                <w:szCs w:val="24"/>
              </w:rPr>
            </w:pPr>
            <w:hyperlink r:id="rId51" w:history="1">
              <w:r w:rsidR="00CF0EE5" w:rsidRPr="002E3BD2">
                <w:rPr>
                  <w:rStyle w:val="Hyperlink"/>
                  <w:sz w:val="24"/>
                  <w:szCs w:val="24"/>
                </w:rPr>
                <w:t>Timetabling team</w:t>
              </w:r>
            </w:hyperlink>
            <w:r w:rsidR="00CF0EE5" w:rsidRPr="002E3BD2">
              <w:rPr>
                <w:sz w:val="24"/>
                <w:szCs w:val="24"/>
              </w:rPr>
              <w:t xml:space="preserve"> (part of the Systems Development team)</w:t>
            </w:r>
          </w:p>
        </w:tc>
      </w:tr>
      <w:tr w:rsidR="00BA109E" w:rsidRPr="00251874" w14:paraId="0A399421" w14:textId="77777777" w:rsidTr="00505AFF">
        <w:trPr>
          <w:trHeight w:val="18"/>
        </w:trPr>
        <w:tc>
          <w:tcPr>
            <w:tcW w:w="4399" w:type="dxa"/>
            <w:shd w:val="clear" w:color="auto" w:fill="FFFFFF" w:themeFill="background1"/>
          </w:tcPr>
          <w:p w14:paraId="25E13E3F" w14:textId="77777777" w:rsidR="00886127" w:rsidRPr="002E3BD2" w:rsidRDefault="00886127" w:rsidP="00BA109E">
            <w:pPr>
              <w:spacing w:before="40" w:after="40"/>
              <w:rPr>
                <w:color w:val="404040" w:themeColor="text1" w:themeTint="BF"/>
                <w:sz w:val="24"/>
                <w:szCs w:val="24"/>
              </w:rPr>
            </w:pPr>
            <w:r w:rsidRPr="002E3BD2">
              <w:rPr>
                <w:color w:val="404040" w:themeColor="text1" w:themeTint="BF"/>
                <w:sz w:val="24"/>
                <w:szCs w:val="24"/>
              </w:rPr>
              <w:t>Work-based and placement learning / careers and employability</w:t>
            </w:r>
          </w:p>
        </w:tc>
        <w:tc>
          <w:tcPr>
            <w:tcW w:w="5967" w:type="dxa"/>
            <w:shd w:val="clear" w:color="auto" w:fill="FFFFFF" w:themeFill="background1"/>
          </w:tcPr>
          <w:p w14:paraId="6D717955" w14:textId="77777777" w:rsidR="00886127" w:rsidRPr="002E3BD2" w:rsidRDefault="00E71FF4" w:rsidP="00BA109E">
            <w:pPr>
              <w:spacing w:before="40" w:after="40"/>
              <w:rPr>
                <w:rStyle w:val="Hyperlink"/>
                <w:sz w:val="24"/>
                <w:szCs w:val="24"/>
              </w:rPr>
            </w:pPr>
            <w:hyperlink r:id="rId52" w:history="1">
              <w:r w:rsidR="00886127" w:rsidRPr="002E3BD2">
                <w:rPr>
                  <w:rStyle w:val="Hyperlink"/>
                  <w:sz w:val="24"/>
                  <w:szCs w:val="24"/>
                </w:rPr>
                <w:t>Student Development Careers Services</w:t>
              </w:r>
            </w:hyperlink>
            <w:r w:rsidR="00886127" w:rsidRPr="002E3BD2">
              <w:rPr>
                <w:color w:val="404040" w:themeColor="text1" w:themeTint="BF"/>
                <w:sz w:val="24"/>
                <w:szCs w:val="24"/>
              </w:rPr>
              <w:t xml:space="preserve"> and </w:t>
            </w:r>
            <w:hyperlink r:id="rId53" w:history="1">
              <w:r w:rsidR="00886127" w:rsidRPr="002E3BD2">
                <w:rPr>
                  <w:rStyle w:val="Hyperlink"/>
                  <w:sz w:val="24"/>
                  <w:szCs w:val="24"/>
                </w:rPr>
                <w:t>online guidance</w:t>
              </w:r>
            </w:hyperlink>
          </w:p>
          <w:p w14:paraId="4D1DC5C9" w14:textId="7FF82F9A" w:rsidR="001B55FC" w:rsidRPr="002E3BD2" w:rsidRDefault="001B55FC" w:rsidP="00BA109E">
            <w:pPr>
              <w:spacing w:before="40" w:after="40"/>
              <w:rPr>
                <w:color w:val="404040" w:themeColor="text1" w:themeTint="BF"/>
                <w:sz w:val="24"/>
                <w:szCs w:val="24"/>
              </w:rPr>
            </w:pPr>
            <w:r w:rsidRPr="002E3BD2">
              <w:rPr>
                <w:sz w:val="24"/>
                <w:szCs w:val="24"/>
              </w:rPr>
              <w:t>Also consider consulting through your Industry Advisory Boards and any Professional Body contacts.</w:t>
            </w:r>
          </w:p>
        </w:tc>
      </w:tr>
      <w:tr w:rsidR="00CD03A2" w:rsidRPr="00251874" w14:paraId="7DDAA855"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78CD15D2" w14:textId="77479267" w:rsidR="00CD03A2" w:rsidRPr="002E3BD2" w:rsidRDefault="00E86B65" w:rsidP="00BA109E">
            <w:pPr>
              <w:spacing w:before="40" w:after="40"/>
              <w:rPr>
                <w:color w:val="404040" w:themeColor="text1" w:themeTint="BF"/>
                <w:sz w:val="24"/>
                <w:szCs w:val="24"/>
              </w:rPr>
            </w:pPr>
            <w:r w:rsidRPr="002E3BD2">
              <w:rPr>
                <w:color w:val="404040" w:themeColor="text1" w:themeTint="BF"/>
                <w:sz w:val="24"/>
                <w:szCs w:val="24"/>
              </w:rPr>
              <w:t>University policies</w:t>
            </w:r>
            <w:r w:rsidR="00C0127A" w:rsidRPr="002E3BD2">
              <w:rPr>
                <w:color w:val="404040" w:themeColor="text1" w:themeTint="BF"/>
                <w:sz w:val="24"/>
                <w:szCs w:val="24"/>
              </w:rPr>
              <w:t xml:space="preserve"> (where you need to discuss a potential variation from the policy)</w:t>
            </w:r>
          </w:p>
        </w:tc>
        <w:tc>
          <w:tcPr>
            <w:tcW w:w="5967" w:type="dxa"/>
            <w:shd w:val="clear" w:color="auto" w:fill="F2F2F2"/>
          </w:tcPr>
          <w:p w14:paraId="6ECB070E" w14:textId="15445C6F" w:rsidR="00CD03A2" w:rsidRPr="002E3BD2" w:rsidRDefault="00E86B65" w:rsidP="00BA109E">
            <w:pPr>
              <w:spacing w:before="40" w:after="40"/>
              <w:rPr>
                <w:sz w:val="24"/>
                <w:szCs w:val="24"/>
              </w:rPr>
            </w:pPr>
            <w:r w:rsidRPr="002E3BD2">
              <w:rPr>
                <w:sz w:val="24"/>
                <w:szCs w:val="24"/>
              </w:rPr>
              <w:t xml:space="preserve">Contact the relevant </w:t>
            </w:r>
            <w:hyperlink r:id="rId54" w:anchor="academic-section" w:history="1">
              <w:r w:rsidRPr="002E3BD2">
                <w:rPr>
                  <w:rStyle w:val="Hyperlink"/>
                  <w:sz w:val="24"/>
                  <w:szCs w:val="24"/>
                </w:rPr>
                <w:t>Professional Services team</w:t>
              </w:r>
            </w:hyperlink>
            <w:r w:rsidRPr="002E3BD2">
              <w:rPr>
                <w:sz w:val="24"/>
                <w:szCs w:val="24"/>
              </w:rPr>
              <w:t>.  Please contact the QUAD team initially if unsure about which team to contact.</w:t>
            </w:r>
          </w:p>
        </w:tc>
      </w:tr>
      <w:tr w:rsidR="00CD03A2" w:rsidRPr="00251874" w14:paraId="3537AA08" w14:textId="77777777" w:rsidTr="00505AFF">
        <w:trPr>
          <w:trHeight w:val="18"/>
        </w:trPr>
        <w:tc>
          <w:tcPr>
            <w:tcW w:w="4399" w:type="dxa"/>
            <w:shd w:val="clear" w:color="auto" w:fill="FFFFFF" w:themeFill="background1"/>
          </w:tcPr>
          <w:p w14:paraId="1D2C75C2" w14:textId="4AADFEE7" w:rsidR="00CD03A2" w:rsidRPr="002E3BD2" w:rsidRDefault="00CF0EE5" w:rsidP="00BA109E">
            <w:pPr>
              <w:spacing w:before="40" w:after="40"/>
              <w:rPr>
                <w:color w:val="404040" w:themeColor="text1" w:themeTint="BF"/>
                <w:sz w:val="24"/>
                <w:szCs w:val="24"/>
              </w:rPr>
            </w:pPr>
            <w:r w:rsidRPr="002E3BD2">
              <w:rPr>
                <w:color w:val="404040" w:themeColor="text1" w:themeTint="BF"/>
                <w:sz w:val="24"/>
                <w:szCs w:val="24"/>
              </w:rPr>
              <w:t>Delivering in partnership with another institution</w:t>
            </w:r>
          </w:p>
        </w:tc>
        <w:tc>
          <w:tcPr>
            <w:tcW w:w="5967" w:type="dxa"/>
            <w:shd w:val="clear" w:color="auto" w:fill="FFFFFF" w:themeFill="background1"/>
          </w:tcPr>
          <w:p w14:paraId="4DAE5D21" w14:textId="3A2BE2DA" w:rsidR="00CD03A2" w:rsidRPr="002E3BD2" w:rsidRDefault="00E71FF4" w:rsidP="00BA109E">
            <w:pPr>
              <w:spacing w:before="40" w:after="40"/>
              <w:rPr>
                <w:sz w:val="24"/>
                <w:szCs w:val="24"/>
              </w:rPr>
            </w:pPr>
            <w:hyperlink r:id="rId55" w:anchor="setting-up-a-new-partnership" w:history="1">
              <w:r w:rsidR="00CF0EE5" w:rsidRPr="002E3BD2">
                <w:rPr>
                  <w:rStyle w:val="Hyperlink"/>
                  <w:sz w:val="24"/>
                  <w:szCs w:val="24"/>
                </w:rPr>
                <w:t>Partnerships team</w:t>
              </w:r>
            </w:hyperlink>
          </w:p>
        </w:tc>
      </w:tr>
      <w:tr w:rsidR="00F352D3" w:rsidRPr="00251874" w14:paraId="63302F4D" w14:textId="77777777" w:rsidTr="00505AFF">
        <w:trPr>
          <w:cnfStyle w:val="000000100000" w:firstRow="0" w:lastRow="0" w:firstColumn="0" w:lastColumn="0" w:oddVBand="0" w:evenVBand="0" w:oddHBand="1" w:evenHBand="0" w:firstRowFirstColumn="0" w:firstRowLastColumn="0" w:lastRowFirstColumn="0" w:lastRowLastColumn="0"/>
          <w:trHeight w:val="18"/>
        </w:trPr>
        <w:tc>
          <w:tcPr>
            <w:tcW w:w="4399" w:type="dxa"/>
            <w:shd w:val="clear" w:color="auto" w:fill="F2F2F2"/>
          </w:tcPr>
          <w:p w14:paraId="7FAC14ED" w14:textId="5FF77931" w:rsidR="00F352D3" w:rsidRPr="002E3BD2" w:rsidRDefault="00F352D3" w:rsidP="00BA109E">
            <w:pPr>
              <w:spacing w:before="40" w:after="40"/>
              <w:rPr>
                <w:color w:val="404040" w:themeColor="text1" w:themeTint="BF"/>
                <w:sz w:val="24"/>
                <w:szCs w:val="24"/>
              </w:rPr>
            </w:pPr>
            <w:r w:rsidRPr="002E3BD2">
              <w:rPr>
                <w:color w:val="404040" w:themeColor="text1" w:themeTint="BF"/>
                <w:sz w:val="24"/>
                <w:szCs w:val="24"/>
              </w:rPr>
              <w:t>Inclusive practice and accessibility</w:t>
            </w:r>
          </w:p>
        </w:tc>
        <w:tc>
          <w:tcPr>
            <w:tcW w:w="5967" w:type="dxa"/>
            <w:shd w:val="clear" w:color="auto" w:fill="F2F2F2"/>
          </w:tcPr>
          <w:p w14:paraId="07ABC1A3" w14:textId="57F2C5DC" w:rsidR="00F352D3" w:rsidRPr="002E3BD2" w:rsidRDefault="00E71FF4" w:rsidP="00BA109E">
            <w:pPr>
              <w:spacing w:before="40" w:after="40"/>
              <w:rPr>
                <w:sz w:val="24"/>
                <w:szCs w:val="24"/>
              </w:rPr>
            </w:pPr>
            <w:hyperlink r:id="rId56" w:history="1">
              <w:r w:rsidR="00F352D3" w:rsidRPr="002E3BD2">
                <w:rPr>
                  <w:rStyle w:val="Hyperlink"/>
                  <w:sz w:val="24"/>
                  <w:szCs w:val="24"/>
                </w:rPr>
                <w:t>Student Wellbeing and Inclusivity Team</w:t>
              </w:r>
            </w:hyperlink>
          </w:p>
        </w:tc>
      </w:tr>
      <w:bookmarkEnd w:id="0"/>
    </w:tbl>
    <w:p w14:paraId="09319134" w14:textId="1A3E1512" w:rsidR="0043469C" w:rsidRDefault="0043469C" w:rsidP="00D10A2D">
      <w:pPr>
        <w:pStyle w:val="Heading1"/>
        <w:spacing w:before="0" w:after="0"/>
        <w:rPr>
          <w:rFonts w:eastAsiaTheme="minorHAnsi"/>
          <w:b w:val="0"/>
          <w:color w:val="404040" w:themeColor="text1" w:themeTint="BF"/>
          <w:sz w:val="16"/>
          <w:szCs w:val="16"/>
        </w:rPr>
      </w:pPr>
    </w:p>
    <w:p w14:paraId="726AEDA9" w14:textId="77777777" w:rsidR="002E3BD2" w:rsidRPr="00AB6EBB" w:rsidRDefault="002E3BD2" w:rsidP="002E3BD2">
      <w:pPr>
        <w:tabs>
          <w:tab w:val="left" w:pos="1418"/>
        </w:tabs>
        <w:jc w:val="both"/>
        <w:rPr>
          <w:rFonts w:eastAsia="Times New Roman" w:cs="Arial"/>
          <w:b/>
          <w:bCs/>
          <w:sz w:val="24"/>
          <w:szCs w:val="24"/>
          <w:lang w:eastAsia="en-GB"/>
        </w:rPr>
      </w:pPr>
      <w:r w:rsidRPr="00AB6EBB">
        <w:rPr>
          <w:rFonts w:eastAsia="Times New Roman" w:cs="Arial"/>
          <w:b/>
          <w:bCs/>
          <w:sz w:val="24"/>
          <w:szCs w:val="24"/>
          <w:lang w:eastAsia="en-GB"/>
        </w:rPr>
        <w:t>Document review information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6946"/>
      </w:tblGrid>
      <w:tr w:rsidR="002E3BD2" w:rsidRPr="00AB6EBB" w14:paraId="74E991A4" w14:textId="77777777" w:rsidTr="002E3BD2">
        <w:tc>
          <w:tcPr>
            <w:tcW w:w="3397" w:type="dxa"/>
            <w:tcMar>
              <w:top w:w="0" w:type="dxa"/>
              <w:left w:w="108" w:type="dxa"/>
              <w:bottom w:w="0" w:type="dxa"/>
              <w:right w:w="108" w:type="dxa"/>
            </w:tcMar>
            <w:hideMark/>
          </w:tcPr>
          <w:p w14:paraId="0B2C6B7A" w14:textId="77777777" w:rsidR="002E3BD2" w:rsidRPr="00AB6EBB" w:rsidRDefault="002E3BD2" w:rsidP="00826B6C">
            <w:pPr>
              <w:tabs>
                <w:tab w:val="left" w:pos="1418"/>
              </w:tabs>
              <w:spacing w:line="276" w:lineRule="auto"/>
              <w:jc w:val="both"/>
              <w:rPr>
                <w:rFonts w:eastAsia="Times New Roman" w:cs="Arial"/>
                <w:sz w:val="24"/>
                <w:szCs w:val="24"/>
              </w:rPr>
            </w:pPr>
            <w:r w:rsidRPr="00AB6EBB">
              <w:rPr>
                <w:rFonts w:eastAsia="Times New Roman" w:cs="Arial"/>
                <w:sz w:val="24"/>
                <w:szCs w:val="24"/>
              </w:rPr>
              <w:t>Document owner</w:t>
            </w:r>
          </w:p>
        </w:tc>
        <w:tc>
          <w:tcPr>
            <w:tcW w:w="6946" w:type="dxa"/>
            <w:tcMar>
              <w:top w:w="0" w:type="dxa"/>
              <w:left w:w="108" w:type="dxa"/>
              <w:bottom w:w="0" w:type="dxa"/>
              <w:right w:w="108" w:type="dxa"/>
            </w:tcMar>
            <w:hideMark/>
          </w:tcPr>
          <w:p w14:paraId="4223DD32" w14:textId="77777777" w:rsidR="002E3BD2" w:rsidRPr="00AB6EBB" w:rsidRDefault="002E3BD2" w:rsidP="00826B6C">
            <w:pPr>
              <w:tabs>
                <w:tab w:val="left" w:pos="1418"/>
              </w:tabs>
              <w:spacing w:line="276" w:lineRule="auto"/>
              <w:jc w:val="both"/>
              <w:rPr>
                <w:rFonts w:eastAsia="Times New Roman" w:cs="Arial"/>
                <w:sz w:val="24"/>
                <w:szCs w:val="24"/>
              </w:rPr>
            </w:pPr>
            <w:r w:rsidRPr="00AB6EBB">
              <w:rPr>
                <w:rFonts w:eastAsia="Times New Roman" w:cs="Arial"/>
                <w:sz w:val="24"/>
                <w:szCs w:val="24"/>
              </w:rPr>
              <w:t>Quality and Academic Development Team</w:t>
            </w:r>
          </w:p>
        </w:tc>
      </w:tr>
      <w:tr w:rsidR="002E3BD2" w:rsidRPr="00AB6EBB" w14:paraId="403FCEEC" w14:textId="77777777" w:rsidTr="002E3BD2">
        <w:trPr>
          <w:trHeight w:val="411"/>
        </w:trPr>
        <w:tc>
          <w:tcPr>
            <w:tcW w:w="3397" w:type="dxa"/>
            <w:tcMar>
              <w:top w:w="0" w:type="dxa"/>
              <w:left w:w="108" w:type="dxa"/>
              <w:bottom w:w="0" w:type="dxa"/>
              <w:right w:w="108" w:type="dxa"/>
            </w:tcMar>
            <w:hideMark/>
          </w:tcPr>
          <w:p w14:paraId="3F852F8C" w14:textId="77777777" w:rsidR="002E3BD2" w:rsidRPr="00AB6EBB" w:rsidRDefault="002E3BD2" w:rsidP="00826B6C">
            <w:pPr>
              <w:tabs>
                <w:tab w:val="left" w:pos="1418"/>
              </w:tabs>
              <w:spacing w:line="276" w:lineRule="auto"/>
              <w:rPr>
                <w:rFonts w:eastAsia="Times New Roman" w:cs="Arial"/>
                <w:sz w:val="24"/>
                <w:szCs w:val="24"/>
              </w:rPr>
            </w:pPr>
            <w:r w:rsidRPr="00AB6EBB">
              <w:rPr>
                <w:rFonts w:eastAsia="Times New Roman" w:cs="Arial"/>
                <w:sz w:val="24"/>
                <w:szCs w:val="24"/>
              </w:rPr>
              <w:t>Document last reviewed by</w:t>
            </w:r>
          </w:p>
        </w:tc>
        <w:tc>
          <w:tcPr>
            <w:tcW w:w="6946" w:type="dxa"/>
            <w:tcMar>
              <w:top w:w="0" w:type="dxa"/>
              <w:left w:w="108" w:type="dxa"/>
              <w:bottom w:w="0" w:type="dxa"/>
              <w:right w:w="108" w:type="dxa"/>
            </w:tcMar>
            <w:hideMark/>
          </w:tcPr>
          <w:p w14:paraId="737DE825" w14:textId="77777777" w:rsidR="002E3BD2" w:rsidRPr="00AB6EBB" w:rsidRDefault="002E3BD2" w:rsidP="00826B6C">
            <w:pPr>
              <w:tabs>
                <w:tab w:val="left" w:pos="1418"/>
              </w:tabs>
              <w:spacing w:line="276" w:lineRule="auto"/>
              <w:rPr>
                <w:sz w:val="24"/>
                <w:szCs w:val="24"/>
              </w:rPr>
            </w:pPr>
            <w:r w:rsidRPr="00AB6EBB">
              <w:rPr>
                <w:rFonts w:eastAsia="Times New Roman" w:cs="Arial"/>
                <w:sz w:val="24"/>
                <w:szCs w:val="24"/>
              </w:rPr>
              <w:t>Aminah Suhail, Quality and Academic Development Manager</w:t>
            </w:r>
          </w:p>
        </w:tc>
      </w:tr>
      <w:tr w:rsidR="002E3BD2" w:rsidRPr="00AB6EBB" w14:paraId="51FC8933" w14:textId="77777777" w:rsidTr="002E3BD2">
        <w:tc>
          <w:tcPr>
            <w:tcW w:w="3397" w:type="dxa"/>
            <w:tcMar>
              <w:top w:w="0" w:type="dxa"/>
              <w:left w:w="108" w:type="dxa"/>
              <w:bottom w:w="0" w:type="dxa"/>
              <w:right w:w="108" w:type="dxa"/>
            </w:tcMar>
            <w:hideMark/>
          </w:tcPr>
          <w:p w14:paraId="6AF21AC2" w14:textId="77777777" w:rsidR="002E3BD2" w:rsidRPr="00AB6EBB" w:rsidRDefault="002E3BD2" w:rsidP="00826B6C">
            <w:pPr>
              <w:tabs>
                <w:tab w:val="left" w:pos="1418"/>
              </w:tabs>
              <w:spacing w:line="276" w:lineRule="auto"/>
              <w:jc w:val="both"/>
              <w:rPr>
                <w:rFonts w:eastAsia="Times New Roman" w:cs="Arial"/>
                <w:sz w:val="24"/>
                <w:szCs w:val="24"/>
              </w:rPr>
            </w:pPr>
            <w:r w:rsidRPr="00AB6EBB">
              <w:rPr>
                <w:rFonts w:eastAsia="Times New Roman" w:cs="Arial"/>
                <w:sz w:val="24"/>
                <w:szCs w:val="24"/>
              </w:rPr>
              <w:t>Date last reviewed</w:t>
            </w:r>
          </w:p>
        </w:tc>
        <w:tc>
          <w:tcPr>
            <w:tcW w:w="6946" w:type="dxa"/>
            <w:tcMar>
              <w:top w:w="0" w:type="dxa"/>
              <w:left w:w="108" w:type="dxa"/>
              <w:bottom w:w="0" w:type="dxa"/>
              <w:right w:w="108" w:type="dxa"/>
            </w:tcMar>
            <w:hideMark/>
          </w:tcPr>
          <w:p w14:paraId="64F97B50" w14:textId="2B218AB5" w:rsidR="002E3BD2" w:rsidRPr="00AB6EBB" w:rsidRDefault="00E71FF4" w:rsidP="00826B6C">
            <w:pPr>
              <w:tabs>
                <w:tab w:val="left" w:pos="1418"/>
              </w:tabs>
              <w:spacing w:line="276" w:lineRule="auto"/>
              <w:jc w:val="both"/>
              <w:rPr>
                <w:rFonts w:eastAsia="Times New Roman" w:cs="Arial"/>
                <w:sz w:val="24"/>
                <w:szCs w:val="24"/>
              </w:rPr>
            </w:pPr>
            <w:r>
              <w:rPr>
                <w:rFonts w:eastAsia="Times New Roman" w:cs="Arial"/>
                <w:sz w:val="24"/>
                <w:szCs w:val="24"/>
              </w:rPr>
              <w:t>August 2024</w:t>
            </w:r>
          </w:p>
        </w:tc>
      </w:tr>
      <w:tr w:rsidR="002E3BD2" w:rsidRPr="00AB6EBB" w14:paraId="7B3B1A08" w14:textId="77777777" w:rsidTr="002E3BD2">
        <w:tc>
          <w:tcPr>
            <w:tcW w:w="3397" w:type="dxa"/>
            <w:tcMar>
              <w:top w:w="0" w:type="dxa"/>
              <w:left w:w="108" w:type="dxa"/>
              <w:bottom w:w="0" w:type="dxa"/>
              <w:right w:w="108" w:type="dxa"/>
            </w:tcMar>
            <w:hideMark/>
          </w:tcPr>
          <w:p w14:paraId="60283AE6" w14:textId="77777777" w:rsidR="002E3BD2" w:rsidRPr="00AB6EBB" w:rsidRDefault="002E3BD2" w:rsidP="00826B6C">
            <w:pPr>
              <w:tabs>
                <w:tab w:val="left" w:pos="1418"/>
              </w:tabs>
              <w:spacing w:line="276" w:lineRule="auto"/>
              <w:jc w:val="both"/>
              <w:rPr>
                <w:rFonts w:eastAsia="Times New Roman" w:cs="Arial"/>
                <w:sz w:val="24"/>
                <w:szCs w:val="24"/>
              </w:rPr>
            </w:pPr>
            <w:r w:rsidRPr="00AB6EBB">
              <w:rPr>
                <w:rFonts w:eastAsia="Times New Roman" w:cs="Arial"/>
                <w:sz w:val="24"/>
                <w:szCs w:val="24"/>
              </w:rPr>
              <w:t>Review frequency</w:t>
            </w:r>
          </w:p>
        </w:tc>
        <w:tc>
          <w:tcPr>
            <w:tcW w:w="6946" w:type="dxa"/>
            <w:tcMar>
              <w:top w:w="0" w:type="dxa"/>
              <w:left w:w="108" w:type="dxa"/>
              <w:bottom w:w="0" w:type="dxa"/>
              <w:right w:w="108" w:type="dxa"/>
            </w:tcMar>
            <w:hideMark/>
          </w:tcPr>
          <w:p w14:paraId="02686D70" w14:textId="77777777" w:rsidR="002E3BD2" w:rsidRPr="00AB6EBB" w:rsidRDefault="002E3BD2" w:rsidP="00826B6C">
            <w:pPr>
              <w:tabs>
                <w:tab w:val="left" w:pos="1418"/>
              </w:tabs>
              <w:spacing w:line="276" w:lineRule="auto"/>
              <w:jc w:val="both"/>
              <w:rPr>
                <w:rFonts w:eastAsia="Times New Roman" w:cs="Arial"/>
                <w:sz w:val="24"/>
                <w:szCs w:val="24"/>
              </w:rPr>
            </w:pPr>
            <w:r w:rsidRPr="00AB6EBB">
              <w:rPr>
                <w:rFonts w:eastAsia="Times New Roman" w:cs="Arial"/>
                <w:sz w:val="24"/>
                <w:szCs w:val="24"/>
              </w:rPr>
              <w:t>Annually</w:t>
            </w:r>
          </w:p>
        </w:tc>
      </w:tr>
    </w:tbl>
    <w:p w14:paraId="12FF97B0" w14:textId="77777777" w:rsidR="002E3BD2" w:rsidRPr="002E3BD2" w:rsidRDefault="002E3BD2" w:rsidP="002E3BD2"/>
    <w:sectPr w:rsidR="002E3BD2" w:rsidRPr="002E3BD2" w:rsidSect="00D10A2D">
      <w:pgSz w:w="11906" w:h="16838"/>
      <w:pgMar w:top="720" w:right="720" w:bottom="567" w:left="720"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4F0"/>
    <w:multiLevelType w:val="hybridMultilevel"/>
    <w:tmpl w:val="BEB8202C"/>
    <w:lvl w:ilvl="0" w:tplc="9588093A">
      <w:start w:val="1"/>
      <w:numFmt w:val="bullet"/>
      <w:lvlText w:val=""/>
      <w:lvlJc w:val="left"/>
      <w:pPr>
        <w:ind w:left="720" w:hanging="360"/>
      </w:pPr>
      <w:rPr>
        <w:rFonts w:ascii="Wingdings" w:hAnsi="Wingdings" w:hint="default"/>
        <w:b w:val="0"/>
        <w:i w:val="0"/>
        <w:color w:val="007A87"/>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158F3EB5"/>
    <w:multiLevelType w:val="hybridMultilevel"/>
    <w:tmpl w:val="EFF04D5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6362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84BC6"/>
    <w:multiLevelType w:val="hybridMultilevel"/>
    <w:tmpl w:val="A1D29E2A"/>
    <w:lvl w:ilvl="0" w:tplc="37E24ED0">
      <w:start w:val="1"/>
      <w:numFmt w:val="bullet"/>
      <w:lvlText w:val=""/>
      <w:lvlJc w:val="left"/>
      <w:pPr>
        <w:ind w:left="1320" w:hanging="360"/>
      </w:pPr>
      <w:rPr>
        <w:rFonts w:ascii="Wingdings" w:hAnsi="Wingdings" w:hint="default"/>
        <w:color w:val="404040"/>
        <w:sz w:val="28"/>
        <w:szCs w:val="28"/>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33B2C40"/>
    <w:multiLevelType w:val="hybridMultilevel"/>
    <w:tmpl w:val="A84E29F6"/>
    <w:lvl w:ilvl="0" w:tplc="24FC5A9A">
      <w:start w:val="1"/>
      <w:numFmt w:val="bullet"/>
      <w:lvlText w:val=""/>
      <w:lvlJc w:val="left"/>
      <w:pPr>
        <w:ind w:left="720" w:hanging="360"/>
      </w:pPr>
      <w:rPr>
        <w:rFonts w:ascii="Wingdings" w:hAnsi="Wingdings" w:hint="default"/>
        <w:color w:val="D55C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77B86"/>
    <w:multiLevelType w:val="hybridMultilevel"/>
    <w:tmpl w:val="EFF04D5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00C5883"/>
    <w:multiLevelType w:val="hybridMultilevel"/>
    <w:tmpl w:val="1520E1DC"/>
    <w:lvl w:ilvl="0" w:tplc="71BEFA92">
      <w:start w:val="1"/>
      <w:numFmt w:val="bullet"/>
      <w:lvlText w:val=""/>
      <w:lvlJc w:val="left"/>
      <w:pPr>
        <w:ind w:left="720" w:hanging="360"/>
      </w:pPr>
      <w:rPr>
        <w:rFonts w:ascii="Wingdings" w:hAnsi="Wingdings" w:hint="default"/>
        <w:color w:val="D55C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DF6B46"/>
    <w:multiLevelType w:val="hybridMultilevel"/>
    <w:tmpl w:val="FB2A0334"/>
    <w:lvl w:ilvl="0" w:tplc="4150F93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833801">
    <w:abstractNumId w:val="11"/>
  </w:num>
  <w:num w:numId="2" w16cid:durableId="427845390">
    <w:abstractNumId w:val="1"/>
  </w:num>
  <w:num w:numId="3" w16cid:durableId="13654071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599783">
    <w:abstractNumId w:val="10"/>
  </w:num>
  <w:num w:numId="5" w16cid:durableId="2047827757">
    <w:abstractNumId w:val="2"/>
  </w:num>
  <w:num w:numId="6" w16cid:durableId="1000691974">
    <w:abstractNumId w:val="6"/>
  </w:num>
  <w:num w:numId="7" w16cid:durableId="342513367">
    <w:abstractNumId w:val="3"/>
  </w:num>
  <w:num w:numId="8" w16cid:durableId="293023267">
    <w:abstractNumId w:val="7"/>
  </w:num>
  <w:num w:numId="9" w16cid:durableId="683089203">
    <w:abstractNumId w:val="8"/>
  </w:num>
  <w:num w:numId="10" w16cid:durableId="1481002658">
    <w:abstractNumId w:val="9"/>
  </w:num>
  <w:num w:numId="11" w16cid:durableId="834956666">
    <w:abstractNumId w:val="0"/>
  </w:num>
  <w:num w:numId="12" w16cid:durableId="2143188729">
    <w:abstractNumId w:val="5"/>
  </w:num>
  <w:num w:numId="13" w16cid:durableId="1169104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04DE2"/>
    <w:rsid w:val="00005477"/>
    <w:rsid w:val="000116CD"/>
    <w:rsid w:val="000348D1"/>
    <w:rsid w:val="0004260F"/>
    <w:rsid w:val="00063E32"/>
    <w:rsid w:val="000B01A7"/>
    <w:rsid w:val="000C0EA5"/>
    <w:rsid w:val="000F1610"/>
    <w:rsid w:val="000F4199"/>
    <w:rsid w:val="0013793E"/>
    <w:rsid w:val="001752B0"/>
    <w:rsid w:val="001B55FC"/>
    <w:rsid w:val="00207048"/>
    <w:rsid w:val="002149F6"/>
    <w:rsid w:val="00233457"/>
    <w:rsid w:val="002406C7"/>
    <w:rsid w:val="00260E32"/>
    <w:rsid w:val="002612F4"/>
    <w:rsid w:val="00272FF2"/>
    <w:rsid w:val="002A7A45"/>
    <w:rsid w:val="002B6E75"/>
    <w:rsid w:val="002C436D"/>
    <w:rsid w:val="002C4C21"/>
    <w:rsid w:val="002C59EC"/>
    <w:rsid w:val="002C7A83"/>
    <w:rsid w:val="002E05E5"/>
    <w:rsid w:val="002E3BD2"/>
    <w:rsid w:val="002F6831"/>
    <w:rsid w:val="002F765F"/>
    <w:rsid w:val="00313B91"/>
    <w:rsid w:val="00334134"/>
    <w:rsid w:val="003821BB"/>
    <w:rsid w:val="00386A75"/>
    <w:rsid w:val="00390255"/>
    <w:rsid w:val="003A225C"/>
    <w:rsid w:val="003C336A"/>
    <w:rsid w:val="003F181D"/>
    <w:rsid w:val="00403044"/>
    <w:rsid w:val="00415727"/>
    <w:rsid w:val="00421870"/>
    <w:rsid w:val="0042790A"/>
    <w:rsid w:val="0043469C"/>
    <w:rsid w:val="00467CB7"/>
    <w:rsid w:val="00482D27"/>
    <w:rsid w:val="004B0AE5"/>
    <w:rsid w:val="004E240C"/>
    <w:rsid w:val="004F4A3C"/>
    <w:rsid w:val="00503188"/>
    <w:rsid w:val="00505AFF"/>
    <w:rsid w:val="005A3F7B"/>
    <w:rsid w:val="005B2288"/>
    <w:rsid w:val="005B486D"/>
    <w:rsid w:val="005E3163"/>
    <w:rsid w:val="005F63DA"/>
    <w:rsid w:val="006040F3"/>
    <w:rsid w:val="00636D0A"/>
    <w:rsid w:val="00642D93"/>
    <w:rsid w:val="0067349E"/>
    <w:rsid w:val="006B0777"/>
    <w:rsid w:val="006D3054"/>
    <w:rsid w:val="006D78A8"/>
    <w:rsid w:val="006E682D"/>
    <w:rsid w:val="006F3535"/>
    <w:rsid w:val="0071592A"/>
    <w:rsid w:val="00733571"/>
    <w:rsid w:val="00761F32"/>
    <w:rsid w:val="00764B78"/>
    <w:rsid w:val="00774967"/>
    <w:rsid w:val="007851B4"/>
    <w:rsid w:val="007A6F2B"/>
    <w:rsid w:val="007C3352"/>
    <w:rsid w:val="007C77FD"/>
    <w:rsid w:val="007E7AE2"/>
    <w:rsid w:val="00835AD5"/>
    <w:rsid w:val="008514F8"/>
    <w:rsid w:val="00860883"/>
    <w:rsid w:val="00886127"/>
    <w:rsid w:val="008B01DB"/>
    <w:rsid w:val="008B098A"/>
    <w:rsid w:val="008C26E1"/>
    <w:rsid w:val="008D4230"/>
    <w:rsid w:val="00945295"/>
    <w:rsid w:val="0095759A"/>
    <w:rsid w:val="00961C22"/>
    <w:rsid w:val="009736E9"/>
    <w:rsid w:val="009B651D"/>
    <w:rsid w:val="009B702B"/>
    <w:rsid w:val="009C5439"/>
    <w:rsid w:val="009C5CF7"/>
    <w:rsid w:val="009F6EAA"/>
    <w:rsid w:val="00A042DD"/>
    <w:rsid w:val="00A44420"/>
    <w:rsid w:val="00A53D27"/>
    <w:rsid w:val="00A71A12"/>
    <w:rsid w:val="00A779C7"/>
    <w:rsid w:val="00AC4F0C"/>
    <w:rsid w:val="00AF5EA1"/>
    <w:rsid w:val="00B26FCC"/>
    <w:rsid w:val="00B37EFA"/>
    <w:rsid w:val="00B617E2"/>
    <w:rsid w:val="00B70758"/>
    <w:rsid w:val="00B8237B"/>
    <w:rsid w:val="00B84185"/>
    <w:rsid w:val="00B8435A"/>
    <w:rsid w:val="00B87D7D"/>
    <w:rsid w:val="00B9675A"/>
    <w:rsid w:val="00BA109E"/>
    <w:rsid w:val="00BB3674"/>
    <w:rsid w:val="00C00952"/>
    <w:rsid w:val="00C0127A"/>
    <w:rsid w:val="00C20510"/>
    <w:rsid w:val="00C275D2"/>
    <w:rsid w:val="00C421BD"/>
    <w:rsid w:val="00C5319B"/>
    <w:rsid w:val="00CA3D2C"/>
    <w:rsid w:val="00CA3E35"/>
    <w:rsid w:val="00CB4786"/>
    <w:rsid w:val="00CD03A2"/>
    <w:rsid w:val="00CD1D4D"/>
    <w:rsid w:val="00CE0DD6"/>
    <w:rsid w:val="00CE5AA3"/>
    <w:rsid w:val="00CF0EE5"/>
    <w:rsid w:val="00D06199"/>
    <w:rsid w:val="00D10A2D"/>
    <w:rsid w:val="00D148C5"/>
    <w:rsid w:val="00D60F5B"/>
    <w:rsid w:val="00D81A4B"/>
    <w:rsid w:val="00D94551"/>
    <w:rsid w:val="00DA105A"/>
    <w:rsid w:val="00DE2466"/>
    <w:rsid w:val="00E212DB"/>
    <w:rsid w:val="00E32FD4"/>
    <w:rsid w:val="00E32FD5"/>
    <w:rsid w:val="00E563E3"/>
    <w:rsid w:val="00E6717E"/>
    <w:rsid w:val="00E71139"/>
    <w:rsid w:val="00E71FF4"/>
    <w:rsid w:val="00E86B65"/>
    <w:rsid w:val="00E876CE"/>
    <w:rsid w:val="00EE6D7C"/>
    <w:rsid w:val="00EE72C9"/>
    <w:rsid w:val="00F05422"/>
    <w:rsid w:val="00F153EA"/>
    <w:rsid w:val="00F352D3"/>
    <w:rsid w:val="00F53ED8"/>
    <w:rsid w:val="00F947F8"/>
    <w:rsid w:val="00FB34D8"/>
    <w:rsid w:val="00FE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B519"/>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D60F5B"/>
    <w:rPr>
      <w:sz w:val="16"/>
      <w:szCs w:val="16"/>
    </w:rPr>
  </w:style>
  <w:style w:type="paragraph" w:styleId="CommentText">
    <w:name w:val="annotation text"/>
    <w:basedOn w:val="Normal"/>
    <w:link w:val="CommentTextChar"/>
    <w:uiPriority w:val="99"/>
    <w:semiHidden/>
    <w:unhideWhenUsed/>
    <w:rsid w:val="00D60F5B"/>
    <w:pPr>
      <w:spacing w:after="120"/>
    </w:pPr>
    <w:rPr>
      <w:rFonts w:ascii="Arial" w:hAnsi="Arial" w:cs="Arial"/>
      <w:szCs w:val="20"/>
    </w:rPr>
  </w:style>
  <w:style w:type="character" w:customStyle="1" w:styleId="CommentTextChar">
    <w:name w:val="Comment Text Char"/>
    <w:basedOn w:val="DefaultParagraphFont"/>
    <w:link w:val="CommentText"/>
    <w:uiPriority w:val="99"/>
    <w:semiHidden/>
    <w:rsid w:val="00D60F5B"/>
    <w:rPr>
      <w:rFonts w:ascii="Arial" w:hAnsi="Arial" w:cs="Arial"/>
      <w:sz w:val="20"/>
      <w:szCs w:val="20"/>
    </w:rPr>
  </w:style>
  <w:style w:type="character" w:styleId="FollowedHyperlink">
    <w:name w:val="FollowedHyperlink"/>
    <w:basedOn w:val="DefaultParagraphFont"/>
    <w:uiPriority w:val="99"/>
    <w:semiHidden/>
    <w:unhideWhenUsed/>
    <w:rsid w:val="00E876CE"/>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72FF2"/>
    <w:pPr>
      <w:spacing w:after="24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272FF2"/>
    <w:rPr>
      <w:rFonts w:ascii="Arial" w:hAnsi="Arial" w:cs="Arial"/>
      <w:b/>
      <w:bCs/>
      <w:sz w:val="20"/>
      <w:szCs w:val="20"/>
    </w:rPr>
  </w:style>
  <w:style w:type="character" w:styleId="UnresolvedMention">
    <w:name w:val="Unresolved Mention"/>
    <w:basedOn w:val="DefaultParagraphFont"/>
    <w:uiPriority w:val="99"/>
    <w:semiHidden/>
    <w:unhideWhenUsed/>
    <w:rsid w:val="00CE5AA3"/>
    <w:rPr>
      <w:color w:val="605E5C"/>
      <w:shd w:val="clear" w:color="auto" w:fill="E1DFDD"/>
    </w:rPr>
  </w:style>
  <w:style w:type="paragraph" w:styleId="Quote">
    <w:name w:val="Quote"/>
    <w:aliases w:val="Introduction / Quote"/>
    <w:basedOn w:val="Normal"/>
    <w:link w:val="QuoteChar"/>
    <w:autoRedefine/>
    <w:uiPriority w:val="29"/>
    <w:qFormat/>
    <w:rsid w:val="00233457"/>
    <w:pPr>
      <w:snapToGrid w:val="0"/>
      <w:spacing w:before="200" w:after="160" w:line="312" w:lineRule="auto"/>
    </w:pPr>
    <w:rPr>
      <w:iCs/>
      <w:color w:val="C0504D" w:themeColor="accent2"/>
      <w:sz w:val="36"/>
      <w:szCs w:val="24"/>
    </w:rPr>
  </w:style>
  <w:style w:type="character" w:customStyle="1" w:styleId="QuoteChar">
    <w:name w:val="Quote Char"/>
    <w:aliases w:val="Introduction / Quote Char"/>
    <w:basedOn w:val="DefaultParagraphFont"/>
    <w:link w:val="Quote"/>
    <w:uiPriority w:val="29"/>
    <w:rsid w:val="00233457"/>
    <w:rPr>
      <w:iCs/>
      <w:color w:val="C0504D" w:themeColor="accent2"/>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sex.ac.uk/staff/academic-standards-and-quality/course-design-validation" TargetMode="External"/><Relationship Id="rId18" Type="http://schemas.openxmlformats.org/officeDocument/2006/relationships/hyperlink" Target="mailto:crt@essex.ac.uk" TargetMode="External"/><Relationship Id="rId26" Type="http://schemas.openxmlformats.org/officeDocument/2006/relationships/hyperlink" Target="https://www.qaa.ac.uk/en/the-quality-code/advice-and-guidance/course-design-and-development" TargetMode="External"/><Relationship Id="rId39" Type="http://schemas.openxmlformats.org/officeDocument/2006/relationships/hyperlink" Target="https://www.essex.ac.uk/staff/professional-services/apprenticeships-team" TargetMode="External"/><Relationship Id="rId21" Type="http://schemas.openxmlformats.org/officeDocument/2006/relationships/hyperlink" Target="https://www.essex.ac.uk/staff/professional-services/organisational-development-team" TargetMode="External"/><Relationship Id="rId34" Type="http://schemas.openxmlformats.org/officeDocument/2006/relationships/hyperlink" Target="https://www.essex.ac.uk/staff/academic-standards-and-quality/external-regulation-and-monitoring" TargetMode="External"/><Relationship Id="rId42" Type="http://schemas.openxmlformats.org/officeDocument/2006/relationships/hyperlink" Target="https://www.essex.ac.uk/staff/professional-services/international-services-team" TargetMode="External"/><Relationship Id="rId47" Type="http://schemas.openxmlformats.org/officeDocument/2006/relationships/hyperlink" Target="https://www1.essex.ac.uk/quality/monitoring_and_review/psrbs.asp" TargetMode="External"/><Relationship Id="rId50" Type="http://schemas.openxmlformats.org/officeDocument/2006/relationships/hyperlink" Target="https://www.essex.ac.uk/staff/professional-services/essex-abroad-team" TargetMode="External"/><Relationship Id="rId55" Type="http://schemas.openxmlformats.org/officeDocument/2006/relationships/hyperlink" Target="https://www.essex.ac.uk/staff/university-partnerships" TargetMode="External"/><Relationship Id="rId7" Type="http://schemas.openxmlformats.org/officeDocument/2006/relationships/hyperlink" Target="https://www.essex.ac.uk/staff/professional-services/quality-and-development-team" TargetMode="External"/><Relationship Id="rId2" Type="http://schemas.openxmlformats.org/officeDocument/2006/relationships/numbering" Target="numbering.xml"/><Relationship Id="rId16" Type="http://schemas.openxmlformats.org/officeDocument/2006/relationships/hyperlink" Target="https://moodle.essex.ac.uk/mod/book/view.php?id=881521" TargetMode="External"/><Relationship Id="rId29" Type="http://schemas.openxmlformats.org/officeDocument/2006/relationships/hyperlink" Target="https://www.qaa.ac.uk/docs/qaa/quality-code/making-use-of-credit.pdf?sfvrsn=d878d781_8" TargetMode="External"/><Relationship Id="rId11" Type="http://schemas.openxmlformats.org/officeDocument/2006/relationships/hyperlink" Target="https://www.essex.ac.uk/staff/academic-standards-and-quality/new-courses" TargetMode="External"/><Relationship Id="rId24" Type="http://schemas.openxmlformats.org/officeDocument/2006/relationships/hyperlink" Target="https://www.officeforstudents.org.uk/media/084f719f-5344-4717-a71b-a7ea00b9f53f/quality-and-standards-conditions.pdf" TargetMode="External"/><Relationship Id="rId32" Type="http://schemas.openxmlformats.org/officeDocument/2006/relationships/hyperlink" Target="https://www.instituteforapprenticeships.org/" TargetMode="External"/><Relationship Id="rId37" Type="http://schemas.openxmlformats.org/officeDocument/2006/relationships/hyperlink" Target="https://www.essex.ac.uk/staff/professional-services/quality-and-development-team" TargetMode="External"/><Relationship Id="rId40" Type="http://schemas.openxmlformats.org/officeDocument/2006/relationships/hyperlink" Target="https://www.essex.ac.uk/-/media/documents/directories/academic-section/academic-standards-and-quality/guidance-on-internal-and-external-reference-points.docx" TargetMode="External"/><Relationship Id="rId45" Type="http://schemas.openxmlformats.org/officeDocument/2006/relationships/hyperlink" Target="https://www1.essex.ac.uk/quality/Documents/course_design_approval_and_modifications/Market_Research.pdf" TargetMode="External"/><Relationship Id="rId53" Type="http://schemas.openxmlformats.org/officeDocument/2006/relationships/hyperlink" Target="https://www1.essex.ac.uk/quality/university_policies/WBL.asp"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mailto:quad@essex.ac.uk" TargetMode="External"/><Relationship Id="rId4" Type="http://schemas.openxmlformats.org/officeDocument/2006/relationships/settings" Target="settings.xml"/><Relationship Id="rId9" Type="http://schemas.openxmlformats.org/officeDocument/2006/relationships/hyperlink" Target="https://www1.essex.ac.uk/quality/course_design_approval_and_modifications/making_changes_to_academic_provision/default.asp" TargetMode="External"/><Relationship Id="rId14" Type="http://schemas.openxmlformats.org/officeDocument/2006/relationships/hyperlink" Target="https://www.essex.ac.uk/staff/academic-standards-and-quality/work-based-learning" TargetMode="External"/><Relationship Id="rId22" Type="http://schemas.openxmlformats.org/officeDocument/2006/relationships/hyperlink" Target="https://www.essex.ac.uk/staff/professional-development-and-training" TargetMode="External"/><Relationship Id="rId27" Type="http://schemas.openxmlformats.org/officeDocument/2006/relationships/hyperlink" Target="https://www.qaa.ac.uk/en/the-quality-code/subject-benchmark-statements" TargetMode="External"/><Relationship Id="rId30" Type="http://schemas.openxmlformats.org/officeDocument/2006/relationships/hyperlink" Target="https://www.gov.uk/government/organisations/department-for-education" TargetMode="External"/><Relationship Id="rId35" Type="http://schemas.openxmlformats.org/officeDocument/2006/relationships/hyperlink" Target="https://www.advance-he.ac.uk/guidance" TargetMode="External"/><Relationship Id="rId43" Type="http://schemas.openxmlformats.org/officeDocument/2006/relationships/hyperlink" Target="https://www.essex.ac.uk/staff/professional-services/library-services-team" TargetMode="External"/><Relationship Id="rId48" Type="http://schemas.openxmlformats.org/officeDocument/2006/relationships/hyperlink" Target="https://www.essex.ac.uk/departments" TargetMode="External"/><Relationship Id="rId56" Type="http://schemas.openxmlformats.org/officeDocument/2006/relationships/hyperlink" Target="https://www.essex.ac.uk/staff/professional-services/student-wellbeing-and-inclusivity-team" TargetMode="External"/><Relationship Id="rId8" Type="http://schemas.openxmlformats.org/officeDocument/2006/relationships/hyperlink" Target="https://www.essex.ac.uk/staff/academic-standards-and-quality" TargetMode="External"/><Relationship Id="rId51" Type="http://schemas.openxmlformats.org/officeDocument/2006/relationships/hyperlink" Target="https://www.essex.ac.uk/staff/timetables" TargetMode="External"/><Relationship Id="rId3" Type="http://schemas.openxmlformats.org/officeDocument/2006/relationships/styles" Target="styles.xml"/><Relationship Id="rId12" Type="http://schemas.openxmlformats.org/officeDocument/2006/relationships/hyperlink" Target="https://www.essex.ac.uk/staff/academic-standards-and-quality/new-modules" TargetMode="External"/><Relationship Id="rId17" Type="http://schemas.openxmlformats.org/officeDocument/2006/relationships/hyperlink" Target="https://moodle.essex.ac.uk/pluginfile.php/1713485/mod_book/chapter/26000/Curriculum%20Update%20Manual%202022%20Update.pdf" TargetMode="External"/><Relationship Id="rId25" Type="http://schemas.openxmlformats.org/officeDocument/2006/relationships/hyperlink" Target="https://www.officeforstudents.org.uk/media/53821cbf-5779-4380-bf2a-aa8f5c53ecd4/sector-recognised-standards.pdf" TargetMode="External"/><Relationship Id="rId33" Type="http://schemas.openxmlformats.org/officeDocument/2006/relationships/hyperlink" Target="https://www.gov.uk/government/organisations/ofsted" TargetMode="External"/><Relationship Id="rId38" Type="http://schemas.openxmlformats.org/officeDocument/2006/relationships/hyperlink" Target="https://www.essex.ac.uk/staff/professional-services/postgraduate-research-education-team" TargetMode="External"/><Relationship Id="rId46" Type="http://schemas.openxmlformats.org/officeDocument/2006/relationships/hyperlink" Target="https://www.essex.ac.uk/-/media/documents/directories/academic-section/academic-standards-and-quality/credit-accumulation-modular-study.pdf" TargetMode="External"/><Relationship Id="rId20" Type="http://schemas.openxmlformats.org/officeDocument/2006/relationships/hyperlink" Target="https://www.essex.ac.uk/staff/professional-services/postgraduate-research-education-team" TargetMode="External"/><Relationship Id="rId41" Type="http://schemas.openxmlformats.org/officeDocument/2006/relationships/hyperlink" Target="https://www.essex.ac.uk/staff/professional-services/organisational-development-team" TargetMode="External"/><Relationship Id="rId54" Type="http://schemas.openxmlformats.org/officeDocument/2006/relationships/hyperlink" Target="https://www.essex.ac.uk/staff/professional-services"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nternal.essex.ac.uk/CurriculumUpdateEssex/" TargetMode="External"/><Relationship Id="rId23" Type="http://schemas.openxmlformats.org/officeDocument/2006/relationships/hyperlink" Target="https://www.essex.ac.uk/staff/professional-development-and-training/education-insights-workshops-series" TargetMode="External"/><Relationship Id="rId28" Type="http://schemas.openxmlformats.org/officeDocument/2006/relationships/hyperlink" Target="https://www.qaa.ac.uk/the-quality-code/qualifications-frameworks" TargetMode="External"/><Relationship Id="rId36" Type="http://schemas.openxmlformats.org/officeDocument/2006/relationships/hyperlink" Target="https://edrm.essex.ac.uk/reporting/sao/CRRM/default.aspx" TargetMode="External"/><Relationship Id="rId49" Type="http://schemas.openxmlformats.org/officeDocument/2006/relationships/hyperlink" Target="https://www1.essex.ac.uk/quality/university_policies/Statement_variation.asp" TargetMode="External"/><Relationship Id="rId57" Type="http://schemas.openxmlformats.org/officeDocument/2006/relationships/fontTable" Target="fontTable.xml"/><Relationship Id="rId10" Type="http://schemas.openxmlformats.org/officeDocument/2006/relationships/hyperlink" Target="https://www.essex.ac.uk/staff/academic-standards-and-quality/new-courses" TargetMode="External"/><Relationship Id="rId31" Type="http://schemas.openxmlformats.org/officeDocument/2006/relationships/hyperlink" Target="https://www.gov.uk/government/organisations/education-and-skills-funding-agency" TargetMode="External"/><Relationship Id="rId44" Type="http://schemas.openxmlformats.org/officeDocument/2006/relationships/hyperlink" Target="https://www.essex.ac.uk/staff/professional-services/marketing-and-student-recruitment" TargetMode="External"/><Relationship Id="rId52" Type="http://schemas.openxmlformats.org/officeDocument/2006/relationships/hyperlink" Target="https://www1.essex.ac.uk/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54C2130-F68F-408E-A287-596C0FAED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Course and module design</vt:lpstr>
    </vt:vector>
  </TitlesOfParts>
  <Company>University of Essex</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and module design</dc:title>
  <dc:creator>QUAD</dc:creator>
  <cp:keywords>Guidance and advice for Essex staff on course and module design</cp:keywords>
  <cp:lastModifiedBy>Suhail, Aminah</cp:lastModifiedBy>
  <cp:revision>3</cp:revision>
  <cp:lastPrinted>2022-01-13T16:48:00Z</cp:lastPrinted>
  <dcterms:created xsi:type="dcterms:W3CDTF">2023-10-12T15:32:00Z</dcterms:created>
  <dcterms:modified xsi:type="dcterms:W3CDTF">2024-08-05T08:22:00Z</dcterms:modified>
</cp:coreProperties>
</file>