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76D0" w14:textId="77777777" w:rsidR="00A20075" w:rsidRPr="00C05A9F" w:rsidRDefault="00A20075" w:rsidP="00A20075">
      <w:pPr>
        <w:spacing w:before="60" w:after="120" w:line="360" w:lineRule="auto"/>
        <w:ind w:left="360"/>
        <w:jc w:val="center"/>
        <w:rPr>
          <w:rFonts w:ascii="Arial" w:hAnsi="Arial" w:cs="Arial"/>
          <w:b/>
          <w:bCs/>
          <w:sz w:val="24"/>
          <w:szCs w:val="24"/>
        </w:rPr>
      </w:pPr>
      <w:r w:rsidRPr="00C05A9F">
        <w:rPr>
          <w:rFonts w:ascii="Arial" w:hAnsi="Arial" w:cs="Arial"/>
          <w:b/>
          <w:bCs/>
          <w:sz w:val="24"/>
          <w:szCs w:val="24"/>
        </w:rPr>
        <w:t>Guidance on the use of content notes at the University of Essex</w:t>
      </w:r>
    </w:p>
    <w:p w14:paraId="26F9CCC6"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Executive summary</w:t>
      </w:r>
    </w:p>
    <w:p w14:paraId="58319F25" w14:textId="77777777" w:rsidR="00A20075" w:rsidRPr="00C05A9F" w:rsidRDefault="00A20075" w:rsidP="00A20075">
      <w:pPr>
        <w:numPr>
          <w:ilvl w:val="0"/>
          <w:numId w:val="5"/>
        </w:numPr>
        <w:spacing w:before="60" w:after="120" w:line="360" w:lineRule="auto"/>
        <w:contextualSpacing/>
        <w:rPr>
          <w:rFonts w:ascii="Arial" w:hAnsi="Arial" w:cs="Arial"/>
          <w:sz w:val="24"/>
          <w:szCs w:val="24"/>
        </w:rPr>
      </w:pPr>
      <w:r w:rsidRPr="00C05A9F">
        <w:rPr>
          <w:rFonts w:ascii="Arial" w:hAnsi="Arial" w:cs="Arial"/>
          <w:sz w:val="24"/>
          <w:szCs w:val="24"/>
        </w:rPr>
        <w:t>The purpose of these guidelines is to help our staff understand how content notes can be used to help their students engage with material they may encounter during their studies that they may find distressing. This guidance is intended to give those responsible for preparing teaching materials and reading lists, the confidence to require students to engage with whatever content they deem appropriate to them achieving learning outcomes.</w:t>
      </w:r>
    </w:p>
    <w:p w14:paraId="02B338C5" w14:textId="77777777" w:rsidR="00A20075" w:rsidRPr="00C05A9F" w:rsidRDefault="00A20075" w:rsidP="00A20075">
      <w:pPr>
        <w:numPr>
          <w:ilvl w:val="0"/>
          <w:numId w:val="5"/>
        </w:numPr>
        <w:spacing w:before="60" w:after="120" w:line="360" w:lineRule="auto"/>
        <w:contextualSpacing/>
        <w:rPr>
          <w:rFonts w:ascii="Arial" w:hAnsi="Arial" w:cs="Arial"/>
          <w:sz w:val="24"/>
          <w:szCs w:val="24"/>
        </w:rPr>
      </w:pPr>
      <w:r w:rsidRPr="00C05A9F">
        <w:rPr>
          <w:rFonts w:ascii="Arial" w:hAnsi="Arial" w:cs="Arial"/>
          <w:sz w:val="24"/>
          <w:szCs w:val="24"/>
        </w:rPr>
        <w:t>At the University of Essex, we refer to content notes, rather than content warnings or trigger warnings.  ‘Content notes’ encompass any notification about content which could include, but is not limited to, advice about potentially distressing material.</w:t>
      </w:r>
    </w:p>
    <w:p w14:paraId="30958761" w14:textId="77777777" w:rsidR="00A20075" w:rsidRPr="00C05A9F" w:rsidRDefault="00A20075" w:rsidP="00A20075">
      <w:pPr>
        <w:numPr>
          <w:ilvl w:val="0"/>
          <w:numId w:val="5"/>
        </w:numPr>
        <w:spacing w:before="60" w:after="120" w:line="360" w:lineRule="auto"/>
        <w:contextualSpacing/>
        <w:rPr>
          <w:rFonts w:ascii="Arial" w:hAnsi="Arial" w:cs="Arial"/>
          <w:sz w:val="24"/>
          <w:szCs w:val="24"/>
        </w:rPr>
      </w:pPr>
      <w:r w:rsidRPr="00C05A9F">
        <w:rPr>
          <w:rFonts w:ascii="Arial" w:hAnsi="Arial" w:cs="Arial"/>
          <w:sz w:val="24"/>
          <w:szCs w:val="24"/>
        </w:rPr>
        <w:t>Content notes highlight, verbally or in writing, sensitive or potentially distressing material that readers, observers, and students may encounter.</w:t>
      </w:r>
    </w:p>
    <w:p w14:paraId="7377555A" w14:textId="77777777" w:rsidR="00A20075" w:rsidRPr="00C05A9F" w:rsidRDefault="00A20075" w:rsidP="00A20075">
      <w:pPr>
        <w:numPr>
          <w:ilvl w:val="0"/>
          <w:numId w:val="5"/>
        </w:numPr>
        <w:spacing w:before="60" w:after="120" w:line="360" w:lineRule="auto"/>
        <w:contextualSpacing/>
        <w:rPr>
          <w:rFonts w:ascii="Arial" w:hAnsi="Arial" w:cs="Arial"/>
          <w:sz w:val="24"/>
          <w:szCs w:val="24"/>
        </w:rPr>
      </w:pPr>
      <w:r w:rsidRPr="00C05A9F">
        <w:rPr>
          <w:rFonts w:ascii="Arial" w:hAnsi="Arial" w:cs="Arial"/>
          <w:sz w:val="24"/>
          <w:szCs w:val="24"/>
        </w:rPr>
        <w:t xml:space="preserve">Content notes are designed to help students engage more effectively with topics that they may finding challenging, uncomfortable or offensive, to facilitate the inclusion of rich, diverse, and intellectually stimulating materials which allow students to develop a strong understanding of the learning outcomes. </w:t>
      </w:r>
    </w:p>
    <w:p w14:paraId="4412489E" w14:textId="77777777" w:rsidR="00A20075" w:rsidRPr="00C05A9F" w:rsidRDefault="00A20075" w:rsidP="00A20075">
      <w:pPr>
        <w:numPr>
          <w:ilvl w:val="0"/>
          <w:numId w:val="5"/>
        </w:numPr>
        <w:spacing w:before="60" w:after="120" w:line="360" w:lineRule="auto"/>
        <w:contextualSpacing/>
        <w:rPr>
          <w:rFonts w:ascii="Arial" w:hAnsi="Arial" w:cs="Arial"/>
          <w:sz w:val="24"/>
          <w:szCs w:val="24"/>
        </w:rPr>
      </w:pPr>
      <w:r w:rsidRPr="00C05A9F">
        <w:rPr>
          <w:rFonts w:ascii="Arial" w:hAnsi="Arial" w:cs="Arial"/>
          <w:sz w:val="24"/>
          <w:szCs w:val="24"/>
        </w:rPr>
        <w:t>Content notes are particularly useful in preparing students who may have undisclosed experiences or conditions for engaging with this material.</w:t>
      </w:r>
    </w:p>
    <w:p w14:paraId="0C78B709" w14:textId="77777777" w:rsidR="00A20075" w:rsidRPr="00C05A9F" w:rsidRDefault="00A20075" w:rsidP="00A20075">
      <w:pPr>
        <w:numPr>
          <w:ilvl w:val="0"/>
          <w:numId w:val="5"/>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The Module Supervisor has responsibility for deciding whether to issue a content note, after consulting with other lecturers who teach on that module. </w:t>
      </w:r>
    </w:p>
    <w:p w14:paraId="0E127B63" w14:textId="77777777" w:rsidR="00A20075" w:rsidRPr="00C05A9F" w:rsidRDefault="00A20075" w:rsidP="00A20075">
      <w:pPr>
        <w:numPr>
          <w:ilvl w:val="0"/>
          <w:numId w:val="5"/>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Course level content note decisions are taken by the Programme Director.</w:t>
      </w:r>
    </w:p>
    <w:p w14:paraId="76143165" w14:textId="77777777" w:rsidR="00A20075" w:rsidRPr="00C05A9F" w:rsidRDefault="00A20075" w:rsidP="00A20075">
      <w:pPr>
        <w:numPr>
          <w:ilvl w:val="0"/>
          <w:numId w:val="5"/>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The sorts of topics (as a non-exhaustive list) where consideration should be given to the inclusion of content notes include:</w:t>
      </w:r>
    </w:p>
    <w:p w14:paraId="5B5A999A" w14:textId="77777777" w:rsidR="00A20075" w:rsidRDefault="00A20075" w:rsidP="00A20075">
      <w:pPr>
        <w:numPr>
          <w:ilvl w:val="0"/>
          <w:numId w:val="6"/>
        </w:numPr>
        <w:spacing w:before="60" w:line="360" w:lineRule="auto"/>
        <w:rPr>
          <w:rFonts w:ascii="Arial" w:hAnsi="Arial" w:cs="Arial"/>
          <w:sz w:val="24"/>
          <w:szCs w:val="24"/>
        </w:rPr>
        <w:sectPr w:rsidR="00A20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CD468E0" w14:textId="2050EB2B" w:rsidR="00A20075" w:rsidRPr="00A20075" w:rsidRDefault="00A20075" w:rsidP="00A20075">
      <w:pPr>
        <w:numPr>
          <w:ilvl w:val="0"/>
          <w:numId w:val="6"/>
        </w:numPr>
        <w:spacing w:before="60" w:line="360" w:lineRule="auto"/>
        <w:rPr>
          <w:rFonts w:ascii="Arial" w:hAnsi="Arial" w:cs="Arial"/>
          <w:sz w:val="24"/>
          <w:szCs w:val="24"/>
        </w:rPr>
      </w:pPr>
      <w:r w:rsidRPr="00A20075">
        <w:rPr>
          <w:rFonts w:ascii="Arial" w:hAnsi="Arial" w:cs="Arial"/>
          <w:sz w:val="24"/>
          <w:szCs w:val="24"/>
        </w:rPr>
        <w:t xml:space="preserve"> </w:t>
      </w:r>
      <w:r w:rsidRPr="00A20075">
        <w:rPr>
          <w:rFonts w:ascii="Arial" w:hAnsi="Arial" w:cs="Arial"/>
          <w:sz w:val="24"/>
          <w:szCs w:val="24"/>
        </w:rPr>
        <w:t>Rape and sexual assault</w:t>
      </w:r>
    </w:p>
    <w:p w14:paraId="0BC82AD3"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Physical violence, abuse and torture</w:t>
      </w:r>
    </w:p>
    <w:p w14:paraId="191FA524"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Emotional abuse, such as gaslighting and coercion (particularly in the context of intimate partner violence)</w:t>
      </w:r>
    </w:p>
    <w:p w14:paraId="6E0F0A4D"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Child abuse of any kind</w:t>
      </w:r>
    </w:p>
    <w:p w14:paraId="520B1CF7"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Paedophilia</w:t>
      </w:r>
    </w:p>
    <w:p w14:paraId="0F630647"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Death (especially when distressing, violent, the result of murder or suicide)</w:t>
      </w:r>
    </w:p>
    <w:p w14:paraId="64F47D66"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 xml:space="preserve">Representations of mental health issues such as self-harm, </w:t>
      </w:r>
      <w:r w:rsidRPr="00C05A9F">
        <w:rPr>
          <w:rFonts w:ascii="Arial" w:hAnsi="Arial" w:cs="Arial"/>
          <w:sz w:val="24"/>
          <w:szCs w:val="24"/>
        </w:rPr>
        <w:lastRenderedPageBreak/>
        <w:t>obsessive-compulsive disorder and disordered eating (especially when represented in detail or in a graphic way)</w:t>
      </w:r>
    </w:p>
    <w:p w14:paraId="127BA752"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Explicitly sexual / pornographic content</w:t>
      </w:r>
    </w:p>
    <w:p w14:paraId="2CCEB288" w14:textId="77777777" w:rsidR="00A20075" w:rsidRPr="00C05A9F" w:rsidRDefault="00A20075" w:rsidP="00A20075">
      <w:pPr>
        <w:numPr>
          <w:ilvl w:val="0"/>
          <w:numId w:val="6"/>
        </w:numPr>
        <w:spacing w:before="60" w:line="360" w:lineRule="auto"/>
        <w:rPr>
          <w:rFonts w:ascii="Arial" w:hAnsi="Arial" w:cs="Arial"/>
          <w:sz w:val="24"/>
          <w:szCs w:val="24"/>
        </w:rPr>
      </w:pPr>
      <w:r w:rsidRPr="00C05A9F">
        <w:rPr>
          <w:rFonts w:ascii="Arial" w:hAnsi="Arial" w:cs="Arial"/>
          <w:sz w:val="24"/>
          <w:szCs w:val="24"/>
        </w:rPr>
        <w:t>Abortion and miscarriage</w:t>
      </w:r>
    </w:p>
    <w:p w14:paraId="10A3D8A9" w14:textId="77777777" w:rsidR="00A20075" w:rsidRPr="00C05A9F" w:rsidRDefault="00A20075" w:rsidP="00A20075">
      <w:pPr>
        <w:numPr>
          <w:ilvl w:val="0"/>
          <w:numId w:val="4"/>
        </w:numPr>
        <w:spacing w:before="60" w:line="360" w:lineRule="auto"/>
        <w:rPr>
          <w:rFonts w:ascii="Arial" w:hAnsi="Arial" w:cs="Arial"/>
          <w:sz w:val="24"/>
          <w:szCs w:val="24"/>
        </w:rPr>
      </w:pPr>
      <w:r w:rsidRPr="00C05A9F">
        <w:rPr>
          <w:rFonts w:ascii="Arial" w:hAnsi="Arial" w:cs="Arial"/>
          <w:sz w:val="24"/>
          <w:szCs w:val="24"/>
        </w:rPr>
        <w:t>Animal abuse and cruelty</w:t>
      </w:r>
    </w:p>
    <w:p w14:paraId="78BB8948" w14:textId="77777777" w:rsidR="00A20075" w:rsidRPr="00C05A9F" w:rsidRDefault="00A20075" w:rsidP="00A20075">
      <w:pPr>
        <w:numPr>
          <w:ilvl w:val="0"/>
          <w:numId w:val="7"/>
        </w:numPr>
        <w:spacing w:before="60" w:line="360" w:lineRule="auto"/>
        <w:rPr>
          <w:rFonts w:ascii="Arial" w:hAnsi="Arial" w:cs="Arial"/>
          <w:sz w:val="24"/>
          <w:szCs w:val="24"/>
        </w:rPr>
      </w:pPr>
      <w:r w:rsidRPr="00C05A9F">
        <w:rPr>
          <w:rFonts w:ascii="Arial" w:hAnsi="Arial" w:cs="Arial"/>
          <w:sz w:val="24"/>
          <w:szCs w:val="24"/>
        </w:rPr>
        <w:t>Illness, particularly terminal and/or commonly traumatic illness such as cancer</w:t>
      </w:r>
    </w:p>
    <w:p w14:paraId="4D8E90B5" w14:textId="77777777" w:rsidR="00A20075" w:rsidRPr="00C05A9F" w:rsidRDefault="00A20075" w:rsidP="00A20075">
      <w:pPr>
        <w:numPr>
          <w:ilvl w:val="0"/>
          <w:numId w:val="7"/>
        </w:numPr>
        <w:spacing w:before="60" w:line="360" w:lineRule="auto"/>
        <w:rPr>
          <w:rFonts w:ascii="Arial" w:hAnsi="Arial" w:cs="Arial"/>
          <w:sz w:val="24"/>
          <w:szCs w:val="24"/>
        </w:rPr>
      </w:pPr>
      <w:r w:rsidRPr="00C05A9F">
        <w:rPr>
          <w:rFonts w:ascii="Arial" w:hAnsi="Arial" w:cs="Arial"/>
          <w:sz w:val="24"/>
          <w:szCs w:val="24"/>
        </w:rPr>
        <w:t>Gore, blood and body horror</w:t>
      </w:r>
    </w:p>
    <w:p w14:paraId="71524BD7" w14:textId="77777777" w:rsidR="00A20075" w:rsidRPr="00C05A9F" w:rsidRDefault="00A20075" w:rsidP="00A20075">
      <w:pPr>
        <w:numPr>
          <w:ilvl w:val="0"/>
          <w:numId w:val="7"/>
        </w:numPr>
        <w:spacing w:before="60" w:line="360" w:lineRule="auto"/>
        <w:rPr>
          <w:rFonts w:ascii="Arial" w:hAnsi="Arial" w:cs="Arial"/>
          <w:sz w:val="24"/>
          <w:szCs w:val="24"/>
        </w:rPr>
      </w:pPr>
      <w:r w:rsidRPr="00C05A9F">
        <w:rPr>
          <w:rFonts w:ascii="Arial" w:hAnsi="Arial" w:cs="Arial"/>
          <w:sz w:val="24"/>
          <w:szCs w:val="24"/>
        </w:rPr>
        <w:t>Substance abuse and addiction</w:t>
      </w:r>
    </w:p>
    <w:p w14:paraId="7D345A02" w14:textId="77777777" w:rsidR="00A20075" w:rsidRPr="00C05A9F" w:rsidRDefault="00A20075" w:rsidP="00A20075">
      <w:pPr>
        <w:numPr>
          <w:ilvl w:val="0"/>
          <w:numId w:val="7"/>
        </w:numPr>
        <w:spacing w:before="60" w:line="360" w:lineRule="auto"/>
        <w:rPr>
          <w:rFonts w:ascii="Arial" w:hAnsi="Arial" w:cs="Arial"/>
          <w:sz w:val="24"/>
          <w:szCs w:val="24"/>
        </w:rPr>
      </w:pPr>
      <w:r w:rsidRPr="00C05A9F">
        <w:rPr>
          <w:rFonts w:ascii="Arial" w:hAnsi="Arial" w:cs="Arial"/>
          <w:sz w:val="24"/>
          <w:szCs w:val="24"/>
        </w:rPr>
        <w:t xml:space="preserve">Discrimination / bigotry </w:t>
      </w:r>
    </w:p>
    <w:p w14:paraId="3DC37FA3" w14:textId="77777777" w:rsidR="00A20075" w:rsidRDefault="00A20075" w:rsidP="00A20075">
      <w:pPr>
        <w:spacing w:before="60" w:line="360" w:lineRule="auto"/>
        <w:rPr>
          <w:rFonts w:ascii="Arial" w:hAnsi="Arial" w:cs="Arial"/>
          <w:sz w:val="24"/>
          <w:szCs w:val="24"/>
        </w:rPr>
        <w:sectPr w:rsidR="00A20075" w:rsidSect="00A20075">
          <w:type w:val="continuous"/>
          <w:pgSz w:w="11906" w:h="16838"/>
          <w:pgMar w:top="1440" w:right="1440" w:bottom="1440" w:left="1440" w:header="708" w:footer="708" w:gutter="0"/>
          <w:cols w:num="2" w:space="708"/>
          <w:docGrid w:linePitch="360"/>
        </w:sectPr>
      </w:pPr>
    </w:p>
    <w:p w14:paraId="0180D1BB" w14:textId="77777777" w:rsidR="00A20075" w:rsidRPr="00C05A9F" w:rsidRDefault="00A20075" w:rsidP="00A20075">
      <w:pPr>
        <w:spacing w:before="60" w:line="360" w:lineRule="auto"/>
        <w:rPr>
          <w:rFonts w:ascii="Arial" w:hAnsi="Arial" w:cs="Arial"/>
          <w:sz w:val="24"/>
          <w:szCs w:val="24"/>
        </w:rPr>
      </w:pPr>
      <w:r w:rsidRPr="00C05A9F">
        <w:rPr>
          <w:rFonts w:ascii="Arial" w:hAnsi="Arial" w:cs="Arial"/>
          <w:sz w:val="24"/>
          <w:szCs w:val="24"/>
        </w:rPr>
        <w:t>Content notes should be:</w:t>
      </w:r>
    </w:p>
    <w:p w14:paraId="3C27F7CF" w14:textId="77777777" w:rsidR="00A20075" w:rsidRPr="00C05A9F" w:rsidRDefault="00A20075" w:rsidP="00A20075">
      <w:pPr>
        <w:numPr>
          <w:ilvl w:val="0"/>
          <w:numId w:val="8"/>
        </w:numPr>
        <w:spacing w:before="60" w:line="360" w:lineRule="auto"/>
        <w:rPr>
          <w:rFonts w:ascii="Arial" w:hAnsi="Arial" w:cs="Arial"/>
          <w:sz w:val="24"/>
          <w:szCs w:val="24"/>
        </w:rPr>
      </w:pPr>
      <w:r w:rsidRPr="00C05A9F">
        <w:rPr>
          <w:rFonts w:ascii="Arial" w:hAnsi="Arial" w:cs="Arial"/>
          <w:b/>
          <w:bCs/>
          <w:sz w:val="24"/>
          <w:szCs w:val="24"/>
        </w:rPr>
        <w:t>General</w:t>
      </w:r>
      <w:r w:rsidRPr="00C05A9F">
        <w:rPr>
          <w:rFonts w:ascii="Arial" w:hAnsi="Arial" w:cs="Arial"/>
          <w:sz w:val="24"/>
          <w:szCs w:val="24"/>
        </w:rPr>
        <w:t xml:space="preserve"> where relating to information shared widely about a module or a course</w:t>
      </w:r>
    </w:p>
    <w:p w14:paraId="645A9863" w14:textId="77777777" w:rsidR="00A20075" w:rsidRPr="00C05A9F" w:rsidRDefault="00A20075" w:rsidP="00A20075">
      <w:pPr>
        <w:numPr>
          <w:ilvl w:val="0"/>
          <w:numId w:val="8"/>
        </w:numPr>
        <w:spacing w:before="60" w:line="360" w:lineRule="auto"/>
        <w:rPr>
          <w:rFonts w:ascii="Arial" w:hAnsi="Arial" w:cs="Arial"/>
          <w:sz w:val="24"/>
          <w:szCs w:val="24"/>
        </w:rPr>
      </w:pPr>
      <w:r w:rsidRPr="00C05A9F">
        <w:rPr>
          <w:rFonts w:ascii="Arial" w:hAnsi="Arial" w:cs="Arial"/>
          <w:b/>
          <w:bCs/>
          <w:sz w:val="24"/>
          <w:szCs w:val="24"/>
        </w:rPr>
        <w:t>Targeted</w:t>
      </w:r>
      <w:r w:rsidRPr="00C05A9F">
        <w:rPr>
          <w:rFonts w:ascii="Arial" w:hAnsi="Arial" w:cs="Arial"/>
          <w:sz w:val="24"/>
          <w:szCs w:val="24"/>
        </w:rPr>
        <w:t xml:space="preserve"> as students encounter specific material or resources</w:t>
      </w:r>
    </w:p>
    <w:p w14:paraId="02950627" w14:textId="77777777" w:rsidR="00A20075" w:rsidRPr="00C05A9F" w:rsidRDefault="00A20075" w:rsidP="00A20075">
      <w:pPr>
        <w:numPr>
          <w:ilvl w:val="0"/>
          <w:numId w:val="8"/>
        </w:numPr>
        <w:spacing w:before="60" w:line="360" w:lineRule="auto"/>
        <w:rPr>
          <w:rFonts w:ascii="Arial" w:hAnsi="Arial" w:cs="Arial"/>
          <w:sz w:val="24"/>
          <w:szCs w:val="24"/>
        </w:rPr>
      </w:pPr>
      <w:r w:rsidRPr="00C05A9F">
        <w:rPr>
          <w:rFonts w:ascii="Arial" w:hAnsi="Arial" w:cs="Arial"/>
          <w:b/>
          <w:bCs/>
          <w:sz w:val="24"/>
          <w:szCs w:val="24"/>
        </w:rPr>
        <w:t>Specific</w:t>
      </w:r>
      <w:r w:rsidRPr="00C05A9F">
        <w:rPr>
          <w:rFonts w:ascii="Arial" w:hAnsi="Arial" w:cs="Arial"/>
          <w:sz w:val="24"/>
          <w:szCs w:val="24"/>
        </w:rPr>
        <w:t xml:space="preserve"> about the nature of the content, rather than vaguely referring to potentially distressing material</w:t>
      </w:r>
    </w:p>
    <w:p w14:paraId="2A19C722" w14:textId="77777777" w:rsidR="00A20075" w:rsidRPr="00C05A9F" w:rsidRDefault="00A20075" w:rsidP="00A20075">
      <w:pPr>
        <w:numPr>
          <w:ilvl w:val="0"/>
          <w:numId w:val="8"/>
        </w:numPr>
        <w:spacing w:before="60" w:line="360" w:lineRule="auto"/>
        <w:rPr>
          <w:rFonts w:ascii="Arial" w:hAnsi="Arial" w:cs="Arial"/>
          <w:sz w:val="24"/>
          <w:szCs w:val="24"/>
        </w:rPr>
      </w:pPr>
      <w:r w:rsidRPr="00C05A9F">
        <w:rPr>
          <w:rFonts w:ascii="Arial" w:hAnsi="Arial" w:cs="Arial"/>
          <w:b/>
          <w:bCs/>
          <w:sz w:val="24"/>
          <w:szCs w:val="24"/>
        </w:rPr>
        <w:t>Accessible</w:t>
      </w:r>
      <w:r w:rsidRPr="00C05A9F">
        <w:rPr>
          <w:rFonts w:ascii="Arial" w:hAnsi="Arial" w:cs="Arial"/>
          <w:sz w:val="24"/>
          <w:szCs w:val="24"/>
        </w:rPr>
        <w:t>: provided several days before students encounter the material and using multiple channels.</w:t>
      </w:r>
    </w:p>
    <w:p w14:paraId="39F92956" w14:textId="77777777" w:rsidR="00A20075" w:rsidRPr="00C05A9F" w:rsidRDefault="00A20075" w:rsidP="00A20075">
      <w:pPr>
        <w:numPr>
          <w:ilvl w:val="0"/>
          <w:numId w:val="5"/>
        </w:numPr>
        <w:spacing w:before="60" w:line="360" w:lineRule="auto"/>
        <w:contextualSpacing/>
        <w:rPr>
          <w:rFonts w:ascii="Arial" w:hAnsi="Arial" w:cs="Arial"/>
          <w:sz w:val="24"/>
          <w:szCs w:val="24"/>
        </w:rPr>
      </w:pPr>
      <w:r w:rsidRPr="00C05A9F">
        <w:rPr>
          <w:rFonts w:ascii="Arial" w:hAnsi="Arial" w:cs="Arial"/>
          <w:sz w:val="24"/>
          <w:szCs w:val="24"/>
        </w:rPr>
        <w:t xml:space="preserve">Alternative curricula should not be offered, except in exceptional circumstances (for example, where students are under 18 or where a student is considered an Adult </w:t>
      </w:r>
      <w:proofErr w:type="gramStart"/>
      <w:r w:rsidRPr="00C05A9F">
        <w:rPr>
          <w:rFonts w:ascii="Arial" w:hAnsi="Arial" w:cs="Arial"/>
          <w:sz w:val="24"/>
          <w:szCs w:val="24"/>
        </w:rPr>
        <w:t>At</w:t>
      </w:r>
      <w:proofErr w:type="gramEnd"/>
      <w:r w:rsidRPr="00C05A9F">
        <w:rPr>
          <w:rFonts w:ascii="Arial" w:hAnsi="Arial" w:cs="Arial"/>
          <w:sz w:val="24"/>
          <w:szCs w:val="24"/>
        </w:rPr>
        <w:t xml:space="preserve"> Risk).</w:t>
      </w:r>
    </w:p>
    <w:p w14:paraId="26B3ABC0" w14:textId="77777777" w:rsidR="00A20075" w:rsidRPr="00C05A9F" w:rsidRDefault="00A20075" w:rsidP="00A20075">
      <w:pPr>
        <w:numPr>
          <w:ilvl w:val="0"/>
          <w:numId w:val="5"/>
        </w:numPr>
        <w:spacing w:before="60" w:line="360" w:lineRule="auto"/>
        <w:contextualSpacing/>
        <w:rPr>
          <w:rFonts w:ascii="Arial" w:hAnsi="Arial" w:cs="Arial"/>
          <w:sz w:val="24"/>
          <w:szCs w:val="24"/>
        </w:rPr>
      </w:pPr>
      <w:r w:rsidRPr="00C05A9F">
        <w:rPr>
          <w:rFonts w:ascii="Arial" w:hAnsi="Arial" w:cs="Arial"/>
          <w:sz w:val="24"/>
          <w:szCs w:val="24"/>
        </w:rPr>
        <w:t>If a student ceases engaging with the learning on a module due to the material being used, a simple supportive conversation should be held with them by the lecturer, personal tutor, or other appropriate member of departmental staff to help them re-engage with their learning.</w:t>
      </w:r>
    </w:p>
    <w:p w14:paraId="55D0A09E" w14:textId="77777777" w:rsidR="00A20075" w:rsidRPr="00C05A9F" w:rsidRDefault="00A20075" w:rsidP="00A20075">
      <w:pPr>
        <w:numPr>
          <w:ilvl w:val="0"/>
          <w:numId w:val="5"/>
        </w:numPr>
        <w:spacing w:before="60" w:line="360" w:lineRule="auto"/>
        <w:contextualSpacing/>
        <w:rPr>
          <w:rFonts w:ascii="Arial" w:hAnsi="Arial" w:cs="Arial"/>
          <w:sz w:val="24"/>
          <w:szCs w:val="24"/>
        </w:rPr>
      </w:pPr>
      <w:r w:rsidRPr="00C05A9F">
        <w:rPr>
          <w:rFonts w:ascii="Arial" w:hAnsi="Arial" w:cs="Arial"/>
          <w:sz w:val="24"/>
          <w:szCs w:val="24"/>
        </w:rPr>
        <w:t xml:space="preserve">If a student is alarmed or distressed about material which is presented to them, they should be referred to the </w:t>
      </w:r>
      <w:hyperlink r:id="rId13" w:history="1">
        <w:r w:rsidRPr="00C05A9F">
          <w:rPr>
            <w:rFonts w:ascii="Arial" w:eastAsiaTheme="majorEastAsia" w:hAnsi="Arial" w:cs="Arial"/>
            <w:color w:val="000000" w:themeColor="text1"/>
            <w:szCs w:val="24"/>
            <w:u w:val="single"/>
          </w:rPr>
          <w:t>Student Wellbeing and Inclusivity Team</w:t>
        </w:r>
      </w:hyperlink>
      <w:r w:rsidRPr="00C05A9F">
        <w:rPr>
          <w:rFonts w:ascii="Arial" w:hAnsi="Arial" w:cs="Arial"/>
          <w:sz w:val="24"/>
          <w:szCs w:val="24"/>
        </w:rPr>
        <w:t xml:space="preserve"> (SWIS)</w:t>
      </w:r>
      <w:r w:rsidRPr="00C05A9F">
        <w:rPr>
          <w:rFonts w:ascii="Arial" w:eastAsiaTheme="majorEastAsia" w:hAnsi="Arial" w:cs="Arial"/>
          <w:sz w:val="24"/>
          <w:szCs w:val="24"/>
          <w:vertAlign w:val="superscript"/>
        </w:rPr>
        <w:footnoteReference w:id="1"/>
      </w:r>
      <w:r w:rsidRPr="00C05A9F">
        <w:rPr>
          <w:rFonts w:ascii="Arial" w:hAnsi="Arial" w:cs="Arial"/>
          <w:sz w:val="24"/>
          <w:szCs w:val="24"/>
        </w:rPr>
        <w:t xml:space="preserve">, with notification also to the Senior Tutor in the Department. </w:t>
      </w:r>
    </w:p>
    <w:p w14:paraId="3FAEAC42" w14:textId="77777777" w:rsidR="00A20075" w:rsidRPr="00C05A9F" w:rsidRDefault="00A20075" w:rsidP="00A20075">
      <w:pPr>
        <w:numPr>
          <w:ilvl w:val="0"/>
          <w:numId w:val="5"/>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Further advice is available in the first instance from Directors of Education, Heads of Department or the academic Library Liaison Officers (</w:t>
      </w:r>
      <w:hyperlink r:id="rId14" w:history="1">
        <w:r w:rsidRPr="00C05A9F">
          <w:rPr>
            <w:rFonts w:ascii="Arial" w:eastAsiaTheme="majorEastAsia" w:hAnsi="Arial" w:cs="Arial"/>
            <w:color w:val="000000" w:themeColor="text1"/>
            <w:szCs w:val="24"/>
            <w:u w:val="single"/>
          </w:rPr>
          <w:t>libline@essex.ac.uk</w:t>
        </w:r>
      </w:hyperlink>
      <w:r w:rsidRPr="00C05A9F">
        <w:rPr>
          <w:rFonts w:ascii="Arial" w:hAnsi="Arial" w:cs="Arial"/>
          <w:sz w:val="24"/>
          <w:szCs w:val="24"/>
        </w:rPr>
        <w:t>).</w:t>
      </w:r>
    </w:p>
    <w:p w14:paraId="2B13382B" w14:textId="77777777" w:rsidR="00A20075" w:rsidRPr="00C05A9F" w:rsidRDefault="00A20075" w:rsidP="00A20075">
      <w:pPr>
        <w:tabs>
          <w:tab w:val="left" w:pos="567"/>
        </w:tabs>
        <w:spacing w:before="60" w:after="120" w:line="360" w:lineRule="auto"/>
        <w:rPr>
          <w:rFonts w:ascii="Arial" w:hAnsi="Arial" w:cs="Arial"/>
          <w:sz w:val="24"/>
          <w:szCs w:val="24"/>
        </w:rPr>
      </w:pPr>
    </w:p>
    <w:p w14:paraId="1B5E9B72" w14:textId="77777777" w:rsidR="00A20075" w:rsidRPr="00C05A9F" w:rsidRDefault="00A20075" w:rsidP="00A20075">
      <w:pPr>
        <w:numPr>
          <w:ilvl w:val="0"/>
          <w:numId w:val="5"/>
        </w:numPr>
        <w:spacing w:before="60" w:after="120" w:line="360" w:lineRule="auto"/>
        <w:contextualSpacing/>
        <w:rPr>
          <w:rFonts w:ascii="Arial" w:hAnsi="Arial" w:cs="Arial"/>
          <w:sz w:val="24"/>
          <w:szCs w:val="24"/>
        </w:rPr>
      </w:pPr>
      <w:r w:rsidRPr="00C05A9F">
        <w:rPr>
          <w:rFonts w:ascii="Arial" w:hAnsi="Arial" w:cs="Arial"/>
          <w:sz w:val="24"/>
          <w:szCs w:val="24"/>
        </w:rPr>
        <w:t xml:space="preserve">This summary outlines the </w:t>
      </w:r>
      <w:proofErr w:type="gramStart"/>
      <w:r w:rsidRPr="00C05A9F">
        <w:rPr>
          <w:rFonts w:ascii="Arial" w:hAnsi="Arial" w:cs="Arial"/>
          <w:sz w:val="24"/>
          <w:szCs w:val="24"/>
        </w:rPr>
        <w:t>high level</w:t>
      </w:r>
      <w:proofErr w:type="gramEnd"/>
      <w:r w:rsidRPr="00C05A9F">
        <w:rPr>
          <w:rFonts w:ascii="Arial" w:hAnsi="Arial" w:cs="Arial"/>
          <w:sz w:val="24"/>
          <w:szCs w:val="24"/>
        </w:rPr>
        <w:t xml:space="preserve"> approach to the use of content notes at the University of Essex. The complete guide should be consulted when considering whether material included within a course or module may require a content note.</w:t>
      </w:r>
    </w:p>
    <w:p w14:paraId="5D6CC038" w14:textId="77777777" w:rsidR="00A20075" w:rsidRPr="00C05A9F" w:rsidRDefault="00A20075" w:rsidP="00A20075">
      <w:pPr>
        <w:spacing w:before="60" w:after="120" w:line="360" w:lineRule="auto"/>
        <w:rPr>
          <w:rFonts w:ascii="Arial" w:hAnsi="Arial" w:cs="Arial"/>
          <w:sz w:val="24"/>
          <w:szCs w:val="24"/>
        </w:rPr>
      </w:pPr>
      <w:r w:rsidRPr="00C05A9F">
        <w:rPr>
          <w:rFonts w:ascii="Arial" w:hAnsi="Arial" w:cs="Arial"/>
          <w:b/>
          <w:bCs/>
          <w:sz w:val="24"/>
          <w:szCs w:val="24"/>
        </w:rPr>
        <w:lastRenderedPageBreak/>
        <w:t>Introduction and context</w:t>
      </w:r>
    </w:p>
    <w:p w14:paraId="30171736"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proofErr w:type="gramStart"/>
      <w:r w:rsidRPr="00C05A9F">
        <w:rPr>
          <w:rFonts w:ascii="Arial" w:hAnsi="Arial" w:cs="Arial"/>
          <w:sz w:val="24"/>
          <w:szCs w:val="24"/>
        </w:rPr>
        <w:t>Content notes,</w:t>
      </w:r>
      <w:proofErr w:type="gramEnd"/>
      <w:r w:rsidRPr="00C05A9F">
        <w:rPr>
          <w:rFonts w:ascii="Arial" w:hAnsi="Arial" w:cs="Arial"/>
          <w:sz w:val="24"/>
          <w:szCs w:val="24"/>
        </w:rPr>
        <w:t xml:space="preserve"> are intended to highlight material that students are likely to encounter and which they may find distressing or offensive, so that they are better prepared to engage with the material fully and productively. It is recognised that not everybody with teaching responsibilities at Essex will be familiar with content notes or some of the complex issues associated with their use. The purpose of this introduction is to summarise and raise awareness of some of the issues surrounding content notes. </w:t>
      </w:r>
    </w:p>
    <w:p w14:paraId="00E2378E"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Content notes can improve the inclusion of people with mental disabilities and trauma, thus contributing to classroom diversity [1]. Used appropriately, more specific content notes can also improve access and engagement by respecting the intellectual, emotional, and physical boundaries of students [2], and can be helpful in mentally preparing students for the content, rather than avoiding selected topics or censoring parts of the curriculum [3].</w:t>
      </w:r>
    </w:p>
    <w:p w14:paraId="0179FA43"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Conversely, content notes are seen by some to coddle students in a way that dissuades them from engaging with challenging materials [4], increase anxiety [5], or provide unhelpful reminders for those who have experienced past trauma [6]. Content notes have been criticised as a form of pre-censorship that impinges on freedom of expression [7]. </w:t>
      </w:r>
    </w:p>
    <w:p w14:paraId="3F828E3E"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This guide has been informed by reframing the issue from one of ‘reacting’ to trauma in the classroom to one of creating educational environments in which every student is able to actively participate [2]. The guide is intended to provide information and support to help you feel confident about making decisions about the use of content notes, and practical arrangements that enhance and improve student learning opportunities. The guidance is presented as a series of questions and answers. </w:t>
      </w:r>
    </w:p>
    <w:p w14:paraId="0E97C4D1"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What are content notes?</w:t>
      </w:r>
    </w:p>
    <w:p w14:paraId="6F663A73"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Content notes provide verbal or written information about sensitive or potentially distressing material that readers, observers, and students may encounter in readings, lectures, books, papers, documents, audio recordings, film and any other journalistic, literary, or media subject matter or, indeed, through any learning activity. Content notes can: i) vary in detail, ii) be transmitted in writing, verbally or through other means, iii) vary by how far in </w:t>
      </w:r>
      <w:r w:rsidRPr="00C05A9F">
        <w:rPr>
          <w:rFonts w:ascii="Arial" w:hAnsi="Arial" w:cs="Arial"/>
          <w:sz w:val="24"/>
          <w:szCs w:val="24"/>
        </w:rPr>
        <w:lastRenderedPageBreak/>
        <w:t>advance and frequently they are given, and iv) be issued in a variety of different contexts such as lectures, readings, assessments, and examinations.</w:t>
      </w:r>
    </w:p>
    <w:p w14:paraId="3FDD3448"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 xml:space="preserve">Are content notes, content warnings, and trigger warnings the same? </w:t>
      </w:r>
    </w:p>
    <w:p w14:paraId="242B7437"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Sometimes these terms are used synonymously; however, differences in definition have been suggested in terms of their intended audience and purpose. The term ‘trigger warning’ is perhaps the most narrowly defined of these terms because it has the specific intended purpose of providing warning about material that could trigger negative psychological reactions among individuals who, perhaps because of previous experience, are vulnerable or sensitive to certain topics, for example, people who suffer with a mental health condition such as post-traumatic stress disorder (PTSD). ‘Content warnings’ have a slightly wider interpretation in that, while they also act as a warning mechanism, they do so in relation to material that anybody could potentially find alarming, regardless of whether they have experienced past trauma or not. ‘Content notes’ is a more neutral term encompassing any information which fulfils a more general notification purpose which could include, but is not limited to, warnings about potentially distressing material. </w:t>
      </w:r>
    </w:p>
    <w:p w14:paraId="32163574"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At Essex, we use the term ‘content notes’ because it avoids assumptions and prompting about what is, and is not, triggering and, given the diverse constitution of our students and staff community at Essex, who will, and will not, find certain materials distressing. </w:t>
      </w:r>
    </w:p>
    <w:p w14:paraId="190D63F5"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Why should I consider using content notes?</w:t>
      </w:r>
    </w:p>
    <w:p w14:paraId="31C0660D"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Content notes can help students engage with topics that they may finding challenging, uncomfortable or even offensive, and as such facilitate the inclusion of rich, diverse, and intellectually stimulating materials through which students </w:t>
      </w:r>
      <w:proofErr w:type="gramStart"/>
      <w:r w:rsidRPr="00C05A9F">
        <w:rPr>
          <w:rFonts w:ascii="Arial" w:hAnsi="Arial" w:cs="Arial"/>
          <w:sz w:val="24"/>
          <w:szCs w:val="24"/>
        </w:rPr>
        <w:t>have the opportunity to</w:t>
      </w:r>
      <w:proofErr w:type="gramEnd"/>
      <w:r w:rsidRPr="00C05A9F">
        <w:rPr>
          <w:rFonts w:ascii="Arial" w:hAnsi="Arial" w:cs="Arial"/>
          <w:sz w:val="24"/>
          <w:szCs w:val="24"/>
        </w:rPr>
        <w:t xml:space="preserve"> develop a strong understanding of the learning outcomes. </w:t>
      </w:r>
    </w:p>
    <w:p w14:paraId="3D17D578"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At Essex our student and staff community </w:t>
      </w:r>
      <w:proofErr w:type="gramStart"/>
      <w:r w:rsidRPr="00C05A9F">
        <w:rPr>
          <w:rFonts w:ascii="Arial" w:hAnsi="Arial" w:cs="Arial"/>
          <w:sz w:val="24"/>
          <w:szCs w:val="24"/>
        </w:rPr>
        <w:t>reflects</w:t>
      </w:r>
      <w:proofErr w:type="gramEnd"/>
      <w:r w:rsidRPr="00C05A9F">
        <w:rPr>
          <w:rFonts w:ascii="Arial" w:hAnsi="Arial" w:cs="Arial"/>
          <w:sz w:val="24"/>
          <w:szCs w:val="24"/>
        </w:rPr>
        <w:t xml:space="preserve"> the diversity of wider society, comprising people from a wide variety of domestic and international backgrounds, and previous experience. This makes it very difficult to anticipate what content will cause distress, who will find it distressing, or what the impact will be. Furthermore, in addition to those who have declared a physical or mental disability, there are likely to be many who are vulnerable but hidden </w:t>
      </w:r>
      <w:r w:rsidRPr="00C05A9F">
        <w:rPr>
          <w:rFonts w:ascii="Arial" w:hAnsi="Arial" w:cs="Arial"/>
          <w:sz w:val="24"/>
          <w:szCs w:val="24"/>
        </w:rPr>
        <w:lastRenderedPageBreak/>
        <w:t>because they have decided not to declare a disability or have been subject to traumatic experiences in the past that nobody in the University is aware of.</w:t>
      </w:r>
      <w:r w:rsidRPr="00C05A9F">
        <w:rPr>
          <w:rFonts w:ascii="Arial" w:eastAsiaTheme="majorEastAsia" w:hAnsi="Arial" w:cs="Arial"/>
          <w:sz w:val="24"/>
          <w:szCs w:val="24"/>
          <w:vertAlign w:val="superscript"/>
        </w:rPr>
        <w:footnoteReference w:id="2"/>
      </w:r>
    </w:p>
    <w:p w14:paraId="566520C7"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A content note represents an important pre-emptive and universal measure to support engagement with challenging subject matter with associated benefits to inclusion in education. Using content notes in a pre-emptive way also removes the need for students to repeatedly and overtly disclose past trauma, mental health issues, or other personal circumstances that make it difficult for them to engage with certain topics. Careful use of content notes is also an important way of meeting our legal obligations to take reasonable steps to prevent members of our community from suffering foreseeable psychological harm.</w:t>
      </w:r>
    </w:p>
    <w:p w14:paraId="00A75760"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When should I use content notes?</w:t>
      </w:r>
    </w:p>
    <w:p w14:paraId="2ECFB2A0"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When you decide what readings, materials, and media to include in your teaching, you are exercising your academic freedom and your right to freedom of expression. It is perfectly legitimate to include readings, materials, and media in your teaching that some might find challenging and, as previously stated, you should not be discouraged or dissuaded from using the materials you consider necessary for students to satisfy learning outcomes for fear of causing offense, controversy, or backlash</w:t>
      </w:r>
    </w:p>
    <w:p w14:paraId="7104792B"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That said, universities also have a legal responsibility to take reasonable steps students from suffering foreseeable physical or psychological harm. Issuing content notes is one method that can be used to prevent students from experiencing foreseeable distress and psychological harm, while being able to offer an educational experience that confronts the most difficult and challenging issues and is not only of benefit to the individual recipients of that education but also to society more widely. As it is difficult to anticipate what material somebody might find alarming, it is also challenging to provide an absolute list of topics that might warrant a content note. the following non-exhaustive list, compiled by the Cambridge Centre for Teaching and Learning</w:t>
      </w:r>
      <w:r w:rsidRPr="00C05A9F">
        <w:rPr>
          <w:rFonts w:ascii="Arial" w:eastAsiaTheme="majorEastAsia" w:hAnsi="Arial" w:cs="Arial"/>
          <w:sz w:val="24"/>
          <w:szCs w:val="24"/>
          <w:vertAlign w:val="superscript"/>
        </w:rPr>
        <w:footnoteReference w:id="3"/>
      </w:r>
      <w:r w:rsidRPr="00C05A9F">
        <w:rPr>
          <w:rFonts w:ascii="Arial" w:hAnsi="Arial" w:cs="Arial"/>
          <w:sz w:val="24"/>
          <w:szCs w:val="24"/>
        </w:rPr>
        <w:t>, indicates the sorts of topics where content notes would be prudent:</w:t>
      </w:r>
    </w:p>
    <w:p w14:paraId="53A9522E"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Rape and sexual assault</w:t>
      </w:r>
    </w:p>
    <w:p w14:paraId="21C291FE"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lastRenderedPageBreak/>
        <w:t>Physical violence, abuse and torture</w:t>
      </w:r>
    </w:p>
    <w:p w14:paraId="40678A9A"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Emotional abuse, such as gaslighting and coercion (particularly in the context of intimate partner violence)</w:t>
      </w:r>
    </w:p>
    <w:p w14:paraId="5F3CFACE"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Child abuse of any kind</w:t>
      </w:r>
    </w:p>
    <w:p w14:paraId="416E87E7"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Paedophilia</w:t>
      </w:r>
    </w:p>
    <w:p w14:paraId="4860854E"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Death (especially when distressing, violent, the result of murder or suicide, etc)</w:t>
      </w:r>
    </w:p>
    <w:p w14:paraId="39E6D9C1"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Representations of mental health issues such as self-harm, obsessive-compulsive disorder and disordered eating (especially when represented in detail or in a graphic way)</w:t>
      </w:r>
    </w:p>
    <w:p w14:paraId="683C8179"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Explicitly sexual / pornographic content</w:t>
      </w:r>
    </w:p>
    <w:p w14:paraId="74400048"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Abortion and miscarriage</w:t>
      </w:r>
    </w:p>
    <w:p w14:paraId="5657B7A0"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Animal abuse and cruelty</w:t>
      </w:r>
    </w:p>
    <w:p w14:paraId="7E2C5D7F"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Illness, particularly terminal and/or commonly traumatic illness such as cancer</w:t>
      </w:r>
    </w:p>
    <w:p w14:paraId="070BD251"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Gore, blood and body horror</w:t>
      </w:r>
    </w:p>
    <w:p w14:paraId="6B902698"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Substance abuse and addiction</w:t>
      </w:r>
    </w:p>
    <w:p w14:paraId="142585C4" w14:textId="77777777" w:rsidR="00A20075" w:rsidRPr="00C05A9F" w:rsidRDefault="00A20075" w:rsidP="00A20075">
      <w:pPr>
        <w:numPr>
          <w:ilvl w:val="0"/>
          <w:numId w:val="1"/>
        </w:numPr>
        <w:spacing w:before="60" w:after="120" w:line="360" w:lineRule="auto"/>
        <w:ind w:left="1134" w:hanging="425"/>
        <w:rPr>
          <w:rFonts w:ascii="Arial" w:hAnsi="Arial" w:cs="Arial"/>
          <w:sz w:val="24"/>
          <w:szCs w:val="24"/>
        </w:rPr>
      </w:pPr>
      <w:r w:rsidRPr="00C05A9F">
        <w:rPr>
          <w:rFonts w:ascii="Arial" w:hAnsi="Arial" w:cs="Arial"/>
          <w:sz w:val="24"/>
          <w:szCs w:val="24"/>
        </w:rPr>
        <w:t xml:space="preserve">Discrimination / bigotry of any kind: racism, misogyny, homophobia, transphobia, ableism, </w:t>
      </w:r>
      <w:proofErr w:type="spellStart"/>
      <w:r w:rsidRPr="00C05A9F">
        <w:rPr>
          <w:rFonts w:ascii="Arial" w:hAnsi="Arial" w:cs="Arial"/>
          <w:sz w:val="24"/>
          <w:szCs w:val="24"/>
        </w:rPr>
        <w:t>anti-semitism</w:t>
      </w:r>
      <w:proofErr w:type="spellEnd"/>
      <w:r w:rsidRPr="00C05A9F">
        <w:rPr>
          <w:rFonts w:ascii="Arial" w:hAnsi="Arial" w:cs="Arial"/>
          <w:sz w:val="24"/>
          <w:szCs w:val="24"/>
        </w:rPr>
        <w:t xml:space="preserve">, islamophobia, etc (this might include specific warnings for slurs or specific incidences such as violent hate crime, or might simply flag the presence of these themes - discussed or represented - within the material) </w:t>
      </w:r>
    </w:p>
    <w:p w14:paraId="7E895D15"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This is not an exhaustive list and there may be other subject matter, for example material relating to natural disasters or eating disorders, that you may deem warrants issuing a content note, especially if you know of students on your course who have corresponding histories or sensitivities. The list is advisory rather than compulsory because the decision to issue a content note must reside with the person responsible for including the corresponding content. </w:t>
      </w:r>
    </w:p>
    <w:p w14:paraId="76C4E743"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Who makes the decision about whether to issue a content note?</w:t>
      </w:r>
    </w:p>
    <w:p w14:paraId="7AE8E042"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lastRenderedPageBreak/>
        <w:tab/>
        <w:t xml:space="preserve">In relation to a module, the decision about whether to issue a content note rests with the Module Supervisor, if </w:t>
      </w:r>
      <w:proofErr w:type="gramStart"/>
      <w:r w:rsidRPr="00C05A9F">
        <w:rPr>
          <w:rFonts w:ascii="Arial" w:hAnsi="Arial" w:cs="Arial"/>
          <w:sz w:val="24"/>
          <w:szCs w:val="24"/>
        </w:rPr>
        <w:t>necessary</w:t>
      </w:r>
      <w:proofErr w:type="gramEnd"/>
      <w:r w:rsidRPr="00C05A9F">
        <w:rPr>
          <w:rFonts w:ascii="Arial" w:hAnsi="Arial" w:cs="Arial"/>
          <w:sz w:val="24"/>
          <w:szCs w:val="24"/>
        </w:rPr>
        <w:t xml:space="preserve"> after consulting with other lecturers who teach on that module. If a content note is proposed at course level, the decision sits with the Programme Director.</w:t>
      </w:r>
    </w:p>
    <w:p w14:paraId="52F04BF8"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The decision to issue [or reject] a content note should not be made or imposed upon module supervisors or programme directors by others, nor should anyone attempt to coercively influence or pressure those with decision-making responsibility. This is an important principal that ensures academic freedom and freedom of expression within the law is preserved in accordance with the University’s statutory obligation. We appreciate that these decisions can be difficult, and this guidance is intended to help by providing module supervisors and programme directors with the information and support they need to make decisions confidently in relation to content notes, ensuring that they are appropriate and comply with the law.</w:t>
      </w:r>
    </w:p>
    <w:p w14:paraId="679F5D01"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What if somebody tries to pressure me into removing or replacing certain content from my course?</w:t>
      </w:r>
    </w:p>
    <w:p w14:paraId="67BFEF7D"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The principle that should always govern the selection of readings and other materials is whether they best support students’ understanding of the learning outcomes. Providing the content is intended to support the learning outcomes, there can be no legitimate objection to their inclusion from anyone, including students and staff, on grounds that they feel uncomfortable engaging with them or find them challenging.</w:t>
      </w:r>
    </w:p>
    <w:p w14:paraId="49537F7A"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Academic judgement that a particular reading should be given a content note should also never be used as a reason for excluding the text from the essential readings for a module. The purpose of the content note is to facilitate the use of that reading. That is not to say that an item on a reading list with a content note can never be replaced or updated.  But the sole justifiable reason for excluding it would be that it is being replaced by an item which, in the academic judgement of the member of staff, better supports the learning outcomes for the course.</w:t>
      </w:r>
    </w:p>
    <w:p w14:paraId="234E48D5"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Should anybody ever attempt to pressure you into excluding readings or other materials from your module because they or others find them challenging or </w:t>
      </w:r>
      <w:r w:rsidRPr="00C05A9F">
        <w:rPr>
          <w:rFonts w:ascii="Arial" w:hAnsi="Arial" w:cs="Arial"/>
          <w:sz w:val="24"/>
          <w:szCs w:val="24"/>
        </w:rPr>
        <w:lastRenderedPageBreak/>
        <w:t xml:space="preserve">offensive, then you should report this to your line manager or through the University’s </w:t>
      </w:r>
      <w:hyperlink r:id="rId15" w:history="1">
        <w:r w:rsidRPr="00C05A9F">
          <w:rPr>
            <w:rFonts w:ascii="Arial" w:eastAsiaTheme="majorEastAsia" w:hAnsi="Arial" w:cs="Arial"/>
            <w:color w:val="000000" w:themeColor="text1"/>
            <w:szCs w:val="24"/>
            <w:u w:val="single"/>
          </w:rPr>
          <w:t>whistleblowing or grievance procedures</w:t>
        </w:r>
      </w:hyperlink>
      <w:r w:rsidRPr="00C05A9F">
        <w:rPr>
          <w:rFonts w:ascii="Arial" w:eastAsiaTheme="majorEastAsia" w:hAnsi="Arial" w:cs="Arial"/>
          <w:sz w:val="24"/>
          <w:szCs w:val="24"/>
          <w:vertAlign w:val="superscript"/>
        </w:rPr>
        <w:footnoteReference w:id="4"/>
      </w:r>
      <w:r w:rsidRPr="00C05A9F">
        <w:rPr>
          <w:rFonts w:ascii="Arial" w:hAnsi="Arial" w:cs="Arial"/>
          <w:sz w:val="24"/>
          <w:szCs w:val="24"/>
        </w:rPr>
        <w:t xml:space="preserve">. </w:t>
      </w:r>
    </w:p>
    <w:p w14:paraId="0D4CE13C"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This all sounds a bit legal. Is there anything I need to worry about?</w:t>
      </w:r>
    </w:p>
    <w:p w14:paraId="596963B5"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Decisions about whether to issue a content note, when, and in what form, potentially impact on rights to freedom of expression within the law and the duty to take reasonable steps to prevent foreseeable harm to students. Issuing a content note as a pre-emptive measure to facilitate more effective engagement with course materials need not come into conflict with freedom of expression rights. To prevent this conflict at Essex, the person responsible for determining content in the curriculum is also the person who decides whether a content note should be issued. The purpose of this guidance is to provide you with sufficient information to be able to make appropriate decisions about content notes without needing to have a highly detailed understanding of complex legal issues. However, there are several pieces of relevant legislation worth being aware of that pertain to freedom of expression rights, and to the incumbent duty of universities to protect students, staff, and visitors from coming to harm: </w:t>
      </w:r>
    </w:p>
    <w:p w14:paraId="3B22F756"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Protecting Freedom of Expression</w:t>
      </w:r>
    </w:p>
    <w:p w14:paraId="47777D40"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 xml:space="preserve">i) </w:t>
      </w:r>
      <w:r w:rsidRPr="00C05A9F">
        <w:rPr>
          <w:rFonts w:ascii="Arial" w:hAnsi="Arial" w:cs="Arial"/>
          <w:sz w:val="24"/>
          <w:szCs w:val="24"/>
        </w:rPr>
        <w:tab/>
        <w:t>Article 10 of the European Convention of Human Rights states that everyone has the right to freedom of expression, subject to proportionate restrictions made in pursuance of certain legitimate aims. This right includes the freedom to hold opinions and to receive and impart information and ideas and has been held to extend to material that is offensive and that shocks and disturbs. Permissible grounds for restriction include protection of the rights of others.</w:t>
      </w:r>
    </w:p>
    <w:p w14:paraId="4E0CE660"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ii)</w:t>
      </w:r>
      <w:r w:rsidRPr="00C05A9F">
        <w:rPr>
          <w:rFonts w:ascii="Arial" w:hAnsi="Arial" w:cs="Arial"/>
          <w:sz w:val="24"/>
          <w:szCs w:val="24"/>
        </w:rPr>
        <w:tab/>
        <w:t>The right to freedom of expression is enforceable through the Human Rights Act 1998 which states that all public authorities must comply with the European Convention of Human Rights. Note, that for the purposes of the Human Rights Act, it is most probable that universities in the UK would be considered ‘public authorities’, as they are under other laws, even though they are not considered to be part of the public sector.</w:t>
      </w:r>
    </w:p>
    <w:p w14:paraId="5FEEE0D1"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lastRenderedPageBreak/>
        <w:t>iii)</w:t>
      </w:r>
      <w:r w:rsidRPr="00C05A9F">
        <w:rPr>
          <w:rFonts w:ascii="Arial" w:hAnsi="Arial" w:cs="Arial"/>
          <w:sz w:val="24"/>
          <w:szCs w:val="24"/>
        </w:rPr>
        <w:tab/>
        <w:t xml:space="preserve">Education (No 2) Act 1986 section 43, states that universities and others must take reasonably practicable steps to ensure freedom of speech within the law for their members, students, employees and visiting speakers. Section 43 also states that universities must have a code of practice in relation to Freedom of Expression which for the University of Essex can be found </w:t>
      </w:r>
      <w:hyperlink r:id="rId16" w:history="1">
        <w:r w:rsidRPr="00C05A9F">
          <w:rPr>
            <w:rFonts w:ascii="Arial" w:eastAsiaTheme="majorEastAsia" w:hAnsi="Arial" w:cs="Arial"/>
            <w:color w:val="000000" w:themeColor="text1"/>
            <w:szCs w:val="24"/>
            <w:u w:val="single"/>
          </w:rPr>
          <w:t>here</w:t>
        </w:r>
      </w:hyperlink>
      <w:r w:rsidRPr="00C05A9F">
        <w:rPr>
          <w:rFonts w:ascii="Arial" w:eastAsiaTheme="majorEastAsia" w:hAnsi="Arial" w:cs="Arial"/>
          <w:sz w:val="24"/>
          <w:szCs w:val="24"/>
          <w:vertAlign w:val="superscript"/>
        </w:rPr>
        <w:footnoteReference w:id="5"/>
      </w:r>
      <w:r w:rsidRPr="00C05A9F">
        <w:rPr>
          <w:rFonts w:ascii="Arial" w:hAnsi="Arial" w:cs="Arial"/>
          <w:sz w:val="24"/>
          <w:szCs w:val="24"/>
        </w:rPr>
        <w:t xml:space="preserve">. Protections for Freedom of Expression are also incorporated in our External Speaker Policy and in our Equality, Inclusion and Diversity Policy, both of which can be found </w:t>
      </w:r>
      <w:hyperlink r:id="rId17" w:history="1">
        <w:r w:rsidRPr="00C05A9F">
          <w:rPr>
            <w:rFonts w:ascii="Arial" w:eastAsiaTheme="majorEastAsia" w:hAnsi="Arial" w:cs="Arial"/>
            <w:color w:val="000000" w:themeColor="text1"/>
            <w:szCs w:val="24"/>
            <w:u w:val="single"/>
          </w:rPr>
          <w:t>here</w:t>
        </w:r>
      </w:hyperlink>
      <w:r w:rsidRPr="00C05A9F">
        <w:rPr>
          <w:rFonts w:ascii="Arial" w:eastAsiaTheme="majorEastAsia" w:hAnsi="Arial" w:cs="Arial"/>
          <w:sz w:val="24"/>
          <w:szCs w:val="24"/>
          <w:vertAlign w:val="superscript"/>
        </w:rPr>
        <w:footnoteReference w:id="6"/>
      </w:r>
      <w:r w:rsidRPr="00C05A9F">
        <w:rPr>
          <w:rFonts w:ascii="Arial" w:hAnsi="Arial" w:cs="Arial"/>
          <w:sz w:val="24"/>
          <w:szCs w:val="24"/>
        </w:rPr>
        <w:t>. Once the Higher Education (Freedom of Speech) Act (see (iii) below) is fully in force, the Education (No 2) Act 1986 will no longer apply to the University of Essex.</w:t>
      </w:r>
    </w:p>
    <w:p w14:paraId="6A339A00"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iv)</w:t>
      </w:r>
      <w:r w:rsidRPr="00C05A9F">
        <w:rPr>
          <w:rFonts w:ascii="Arial" w:hAnsi="Arial" w:cs="Arial"/>
          <w:sz w:val="24"/>
          <w:szCs w:val="24"/>
        </w:rPr>
        <w:tab/>
        <w:t>The Higher Education (Freedom of Speech) Act2023, places a specific obligation on universities to protect and promote the freedom of speech of staff, students, and visitors. The Bill adds new powers for the Office for Students about conditions of registration for higher education providers and a new complaints scheme. The bill also introduces specific law that enables individuals to bring legal proceedings against a university if they have failed to protect their freedom of speech, for instance those who have been subject to no-platforming or cancellation. The Act is not yet fully in force.</w:t>
      </w:r>
    </w:p>
    <w:p w14:paraId="58A7D74D"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v)</w:t>
      </w:r>
      <w:r w:rsidRPr="00C05A9F">
        <w:rPr>
          <w:rFonts w:ascii="Arial" w:hAnsi="Arial" w:cs="Arial"/>
          <w:sz w:val="24"/>
          <w:szCs w:val="24"/>
        </w:rPr>
        <w:tab/>
        <w:t xml:space="preserve">Section 29 of the </w:t>
      </w:r>
      <w:proofErr w:type="gramStart"/>
      <w:r w:rsidRPr="00C05A9F">
        <w:rPr>
          <w:rFonts w:ascii="Arial" w:hAnsi="Arial" w:cs="Arial"/>
          <w:sz w:val="24"/>
          <w:szCs w:val="24"/>
        </w:rPr>
        <w:t>Counter-Terrorism</w:t>
      </w:r>
      <w:proofErr w:type="gramEnd"/>
      <w:r w:rsidRPr="00C05A9F">
        <w:rPr>
          <w:rFonts w:ascii="Arial" w:hAnsi="Arial" w:cs="Arial"/>
          <w:sz w:val="24"/>
          <w:szCs w:val="24"/>
        </w:rPr>
        <w:t xml:space="preserve"> and Security Act 2015 places a statutory obligation on universities to prevent people from being drawn into terrorism. </w:t>
      </w:r>
      <w:hyperlink r:id="rId18" w:history="1">
        <w:r w:rsidRPr="00C05A9F">
          <w:rPr>
            <w:rFonts w:ascii="Arial" w:eastAsiaTheme="majorEastAsia" w:hAnsi="Arial" w:cs="Arial"/>
            <w:color w:val="000000" w:themeColor="text1"/>
            <w:szCs w:val="24"/>
            <w:u w:val="single"/>
          </w:rPr>
          <w:t>Guidance</w:t>
        </w:r>
      </w:hyperlink>
      <w:r w:rsidRPr="00C05A9F">
        <w:rPr>
          <w:rFonts w:ascii="Arial" w:eastAsiaTheme="majorEastAsia" w:hAnsi="Arial" w:cs="Arial"/>
          <w:sz w:val="24"/>
          <w:szCs w:val="24"/>
          <w:vertAlign w:val="superscript"/>
        </w:rPr>
        <w:footnoteReference w:id="7"/>
      </w:r>
      <w:r w:rsidRPr="00C05A9F">
        <w:rPr>
          <w:rFonts w:ascii="Arial" w:hAnsi="Arial" w:cs="Arial"/>
          <w:sz w:val="24"/>
          <w:szCs w:val="24"/>
        </w:rPr>
        <w:t xml:space="preserve"> issued by the government explains that the ‘Prevent Duty’ should not interfere with universities’ role in protecting freedom of expression and would only become relevant if there was a genuine risk of people being drawn into terrorism.  </w:t>
      </w:r>
    </w:p>
    <w:p w14:paraId="39FB94FE"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Protecting Students, Staff, and Visitors from Coming to Harm </w:t>
      </w:r>
    </w:p>
    <w:p w14:paraId="038F9CF5"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i)</w:t>
      </w:r>
      <w:r w:rsidRPr="00C05A9F">
        <w:rPr>
          <w:rFonts w:ascii="Arial" w:hAnsi="Arial" w:cs="Arial"/>
          <w:sz w:val="24"/>
          <w:szCs w:val="24"/>
        </w:rPr>
        <w:tab/>
        <w:t xml:space="preserve">Under Common Law, universities must take reasonable steps to ensure the safety of students, members, employees and visiting speakers. In some circumstances this could mean ensuring the personal safety of a visiting speaker or lecturer who is presenting on controversial subjects, equally, where students are known to have a relevant vulnerability, or where </w:t>
      </w:r>
      <w:r w:rsidRPr="00C05A9F">
        <w:rPr>
          <w:rFonts w:ascii="Arial" w:hAnsi="Arial" w:cs="Arial"/>
          <w:sz w:val="24"/>
          <w:szCs w:val="24"/>
        </w:rPr>
        <w:lastRenderedPageBreak/>
        <w:t xml:space="preserve">material is obviously likely to be distressing to </w:t>
      </w:r>
      <w:proofErr w:type="gramStart"/>
      <w:r w:rsidRPr="00C05A9F">
        <w:rPr>
          <w:rFonts w:ascii="Arial" w:hAnsi="Arial" w:cs="Arial"/>
          <w:sz w:val="24"/>
          <w:szCs w:val="24"/>
        </w:rPr>
        <w:t>all,  it</w:t>
      </w:r>
      <w:proofErr w:type="gramEnd"/>
      <w:r w:rsidRPr="00C05A9F">
        <w:rPr>
          <w:rFonts w:ascii="Arial" w:hAnsi="Arial" w:cs="Arial"/>
          <w:sz w:val="24"/>
          <w:szCs w:val="24"/>
        </w:rPr>
        <w:t xml:space="preserve"> could mean issuing a content note to help students prepare to handle difficult subject material..</w:t>
      </w:r>
    </w:p>
    <w:p w14:paraId="37851DD3"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ii)</w:t>
      </w:r>
      <w:r w:rsidRPr="00C05A9F">
        <w:rPr>
          <w:rFonts w:ascii="Arial" w:hAnsi="Arial" w:cs="Arial"/>
          <w:sz w:val="24"/>
          <w:szCs w:val="24"/>
        </w:rPr>
        <w:tab/>
        <w:t xml:space="preserve">Section 20 of the Equality Act 2010 states that reasonable steps must be taken to prevent those with protected characteristics from being discriminated against or disadvantaged. Anyone who suffers with any mental disability including PTSD would be afforded protection under this Act and, because such persons may find it more difficult to </w:t>
      </w:r>
      <w:proofErr w:type="gramStart"/>
      <w:r w:rsidRPr="00C05A9F">
        <w:rPr>
          <w:rFonts w:ascii="Arial" w:hAnsi="Arial" w:cs="Arial"/>
          <w:sz w:val="24"/>
          <w:szCs w:val="24"/>
        </w:rPr>
        <w:t>engage  with</w:t>
      </w:r>
      <w:proofErr w:type="gramEnd"/>
      <w:r w:rsidRPr="00C05A9F">
        <w:rPr>
          <w:rFonts w:ascii="Arial" w:hAnsi="Arial" w:cs="Arial"/>
          <w:sz w:val="24"/>
          <w:szCs w:val="24"/>
        </w:rPr>
        <w:t xml:space="preserve"> some material, issuing an appropriate content note would most likely qualify as an anticipatory reasonable adjustment under S20 of the Act.</w:t>
      </w:r>
    </w:p>
    <w:p w14:paraId="08D5F1AF" w14:textId="77777777" w:rsidR="00A20075" w:rsidRPr="00C05A9F" w:rsidRDefault="00A20075" w:rsidP="00A20075">
      <w:p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iii)</w:t>
      </w:r>
      <w:r w:rsidRPr="00C05A9F">
        <w:rPr>
          <w:rFonts w:ascii="Arial" w:hAnsi="Arial" w:cs="Arial"/>
          <w:sz w:val="24"/>
          <w:szCs w:val="24"/>
        </w:rPr>
        <w:tab/>
        <w:t xml:space="preserve">Although not a statutory or Common Law obligation, the University of Essex was one of the first institutions in the UK to sign up to the </w:t>
      </w:r>
      <w:hyperlink r:id="rId19" w:history="1">
        <w:r w:rsidRPr="00C05A9F">
          <w:rPr>
            <w:rFonts w:ascii="Arial" w:eastAsiaTheme="majorEastAsia" w:hAnsi="Arial" w:cs="Arial"/>
            <w:color w:val="000000" w:themeColor="text1"/>
            <w:szCs w:val="24"/>
            <w:u w:val="single"/>
          </w:rPr>
          <w:t>Universities Mental Health Charter</w:t>
        </w:r>
      </w:hyperlink>
      <w:r w:rsidRPr="00C05A9F">
        <w:rPr>
          <w:rFonts w:ascii="Arial" w:eastAsiaTheme="majorEastAsia" w:hAnsi="Arial" w:cs="Arial"/>
          <w:sz w:val="24"/>
          <w:szCs w:val="24"/>
          <w:vertAlign w:val="superscript"/>
        </w:rPr>
        <w:footnoteReference w:id="8"/>
      </w:r>
      <w:r w:rsidRPr="00C05A9F">
        <w:rPr>
          <w:rFonts w:ascii="Arial" w:hAnsi="Arial" w:cs="Arial"/>
          <w:sz w:val="24"/>
          <w:szCs w:val="24"/>
        </w:rPr>
        <w:t xml:space="preserve"> that was launched by the charity Student Minds. As a member of the Charter, we have made a commitment to support the mental health and wellbeing of students and staff.  </w:t>
      </w:r>
    </w:p>
    <w:p w14:paraId="12A58BBC"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What should I do if a student avoids certain lectures, activities, or other material on my course?</w:t>
      </w:r>
    </w:p>
    <w:p w14:paraId="73EE77DF"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There are many reasons why a student may decide not to engage with some of their learning activities, some of which will have nothing to do with finding the content challenging, offensive or distressing. It is important to keep an open mind about the range of reasons a student might stop engaging or </w:t>
      </w:r>
      <w:proofErr w:type="gramStart"/>
      <w:r w:rsidRPr="00C05A9F">
        <w:rPr>
          <w:rFonts w:ascii="Arial" w:hAnsi="Arial" w:cs="Arial"/>
          <w:sz w:val="24"/>
          <w:szCs w:val="24"/>
        </w:rPr>
        <w:t>attending, and</w:t>
      </w:r>
      <w:proofErr w:type="gramEnd"/>
      <w:r w:rsidRPr="00C05A9F">
        <w:rPr>
          <w:rFonts w:ascii="Arial" w:hAnsi="Arial" w:cs="Arial"/>
          <w:sz w:val="24"/>
          <w:szCs w:val="24"/>
        </w:rPr>
        <w:t xml:space="preserve"> try to investigate without making assumptions so that arrangements can be made to provide them with the most appropriate type of support. The earlier non-engagement is noticed and attended to, the better. Often a simple supportive conversation with the student by the lecturer, personal tutor, or other appropriate member of departmental staff can be sufficient to help them re-engage with their learning. It may be that a student has stopped engaging because they need help with a particular issue that the department is unable to provide alone, in which case the student should be referred to the range of central support services designed to do that which can be found through the </w:t>
      </w:r>
      <w:hyperlink r:id="rId20" w:history="1">
        <w:r w:rsidRPr="00C05A9F">
          <w:rPr>
            <w:rFonts w:ascii="Arial" w:eastAsiaTheme="majorEastAsia" w:hAnsi="Arial" w:cs="Arial"/>
            <w:color w:val="000000" w:themeColor="text1"/>
            <w:szCs w:val="24"/>
            <w:u w:val="single"/>
          </w:rPr>
          <w:t>Student Portal</w:t>
        </w:r>
      </w:hyperlink>
      <w:r w:rsidRPr="00C05A9F">
        <w:rPr>
          <w:rFonts w:ascii="Arial" w:eastAsiaTheme="majorEastAsia" w:hAnsi="Arial" w:cs="Arial"/>
          <w:sz w:val="24"/>
          <w:szCs w:val="24"/>
          <w:vertAlign w:val="superscript"/>
        </w:rPr>
        <w:footnoteReference w:id="9"/>
      </w:r>
      <w:r w:rsidRPr="00C05A9F">
        <w:rPr>
          <w:rFonts w:ascii="Arial" w:hAnsi="Arial" w:cs="Arial"/>
          <w:sz w:val="24"/>
          <w:szCs w:val="24"/>
        </w:rPr>
        <w:t xml:space="preserve">.       </w:t>
      </w:r>
    </w:p>
    <w:p w14:paraId="1E799848"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lastRenderedPageBreak/>
        <w:t xml:space="preserve">What should I do if a student appears to be distressed </w:t>
      </w:r>
      <w:proofErr w:type="gramStart"/>
      <w:r w:rsidRPr="00C05A9F">
        <w:rPr>
          <w:rFonts w:ascii="Arial" w:hAnsi="Arial" w:cs="Arial"/>
          <w:b/>
          <w:bCs/>
          <w:sz w:val="24"/>
          <w:szCs w:val="24"/>
        </w:rPr>
        <w:t>as a consequence of</w:t>
      </w:r>
      <w:proofErr w:type="gramEnd"/>
      <w:r w:rsidRPr="00C05A9F">
        <w:rPr>
          <w:rFonts w:ascii="Arial" w:hAnsi="Arial" w:cs="Arial"/>
          <w:b/>
          <w:bCs/>
          <w:sz w:val="24"/>
          <w:szCs w:val="24"/>
        </w:rPr>
        <w:t xml:space="preserve"> engaging with certain materials I have decided to include in my teaching?</w:t>
      </w:r>
    </w:p>
    <w:p w14:paraId="39D3B5C8"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Issuing a content note can help students to prepare themselves to engage with learning activities that contain material they might find distressing. One of the benefits of a content note is that it provides notice to a student, so that they do not encounter such materials in an unexpected manner or in a way that is more likely to cause them unnecessary shock or additional distress. However, even if a student receives a content note, there is no guarantee that it will cause them to feel any less anxious before encountering certain learning activities or that they will not find the experience any less distressing, as people react in very different and sometimes unexpected ways to the same material.</w:t>
      </w:r>
    </w:p>
    <w:p w14:paraId="09F19945"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If it becomes evident that a student is alarmed or distressed about material which is presented to them through your teaching, you should refer them to the </w:t>
      </w:r>
      <w:hyperlink r:id="rId21" w:history="1">
        <w:r w:rsidRPr="00C05A9F">
          <w:rPr>
            <w:rFonts w:ascii="Arial" w:eastAsiaTheme="majorEastAsia" w:hAnsi="Arial" w:cs="Arial"/>
            <w:color w:val="000000" w:themeColor="text1"/>
            <w:szCs w:val="24"/>
            <w:u w:val="single"/>
          </w:rPr>
          <w:t>Student Wellbeing and Inclusivity Team</w:t>
        </w:r>
      </w:hyperlink>
      <w:r w:rsidRPr="00C05A9F">
        <w:rPr>
          <w:rFonts w:ascii="Arial" w:hAnsi="Arial" w:cs="Arial"/>
          <w:sz w:val="24"/>
          <w:szCs w:val="24"/>
        </w:rPr>
        <w:t xml:space="preserve"> (SWIS)</w:t>
      </w:r>
      <w:r w:rsidRPr="00C05A9F">
        <w:rPr>
          <w:rFonts w:ascii="Arial" w:eastAsiaTheme="majorEastAsia" w:hAnsi="Arial" w:cs="Arial"/>
          <w:sz w:val="24"/>
          <w:szCs w:val="24"/>
          <w:vertAlign w:val="superscript"/>
        </w:rPr>
        <w:footnoteReference w:id="10"/>
      </w:r>
      <w:r w:rsidRPr="00C05A9F">
        <w:rPr>
          <w:rFonts w:ascii="Arial" w:hAnsi="Arial" w:cs="Arial"/>
          <w:sz w:val="24"/>
          <w:szCs w:val="24"/>
        </w:rPr>
        <w:t>, and notify the Senior Tutor in your Department (If you are the Senior Tutor notify your Head of Department, if you are Head of Department notify your Executive Dean). Always try to support students but do not attempt to counsel them and never make comments that could be perceived as judgemental. If a student wishes to leave a lecture or class because they are distressed, do not try to prevent them from doing so. However, you should follow-up with them as soon as practicably possible to enquire about their welfare, and to help them find the appropriate support, for example through the SWIS team. Although very rare, should a student experience a medical emergency, stop your teaching and call for immediate help using the 2222 service.</w:t>
      </w:r>
    </w:p>
    <w:p w14:paraId="149196DA"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Can a student refuse to engage with learning activities, readings, or materials because they prefer not to confront challenging issues or because they believe it will have a negative effect on them?</w:t>
      </w:r>
    </w:p>
    <w:p w14:paraId="3054F82C"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A student cannot be compelled to engage if they do not want to do so; however, this could mean that they do not meet the learning outcomes, which could subsequently mean they fail a module and potentially their course. Alternative curricula or materials should not be offered to those who have decided not to engage as a matter of preference. Instead, students should be </w:t>
      </w:r>
      <w:r w:rsidRPr="00C05A9F">
        <w:rPr>
          <w:rFonts w:ascii="Arial" w:hAnsi="Arial" w:cs="Arial"/>
          <w:sz w:val="24"/>
          <w:szCs w:val="24"/>
        </w:rPr>
        <w:lastRenderedPageBreak/>
        <w:t xml:space="preserve">helped to engage with challenging materials, and content notes are one way of achieving this. Except in the limited circumstances outlined below, it should be clearly communicated to students that an alternative curriculum will not be provided and that not meeting the learning outcomes could result in module or even course failure. Ensuring that information about challenging content is provided ‘before’ students chose their course or modules may help to prevent students not engaging for these sorts of reasons. </w:t>
      </w:r>
    </w:p>
    <w:p w14:paraId="46C174B2" w14:textId="77777777" w:rsidR="00A20075" w:rsidRPr="00C05A9F" w:rsidRDefault="00A20075" w:rsidP="00A20075">
      <w:pPr>
        <w:tabs>
          <w:tab w:val="left" w:pos="567"/>
        </w:tabs>
        <w:spacing w:before="60" w:after="120" w:line="360" w:lineRule="auto"/>
        <w:rPr>
          <w:rFonts w:ascii="Arial" w:hAnsi="Arial" w:cs="Arial"/>
          <w:b/>
          <w:bCs/>
          <w:sz w:val="24"/>
          <w:szCs w:val="24"/>
        </w:rPr>
      </w:pPr>
      <w:r w:rsidRPr="00C05A9F">
        <w:rPr>
          <w:rFonts w:ascii="Arial" w:hAnsi="Arial" w:cs="Arial"/>
          <w:b/>
          <w:bCs/>
          <w:sz w:val="24"/>
          <w:szCs w:val="24"/>
        </w:rPr>
        <w:t xml:space="preserve">Exceptions to providing an alternative curriculum (Under 18s or Adults </w:t>
      </w:r>
      <w:proofErr w:type="gramStart"/>
      <w:r w:rsidRPr="00C05A9F">
        <w:rPr>
          <w:rFonts w:ascii="Arial" w:hAnsi="Arial" w:cs="Arial"/>
          <w:b/>
          <w:bCs/>
          <w:sz w:val="24"/>
          <w:szCs w:val="24"/>
        </w:rPr>
        <w:t>At</w:t>
      </w:r>
      <w:proofErr w:type="gramEnd"/>
      <w:r w:rsidRPr="00C05A9F">
        <w:rPr>
          <w:rFonts w:ascii="Arial" w:hAnsi="Arial" w:cs="Arial"/>
          <w:b/>
          <w:bCs/>
          <w:sz w:val="24"/>
          <w:szCs w:val="24"/>
        </w:rPr>
        <w:t xml:space="preserve"> Risk)</w:t>
      </w:r>
    </w:p>
    <w:p w14:paraId="06A699CC"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There are a limited number of exceptions when it might be more appropriate to offer an alternative curriculum. The first is when there is a student under the age of 18 years (see paragraphs 27 – 28 for more detailed information). The second is where the student is an adult and categorised as being at risk. Because of their vulnerability, they may be at greater risk of harm from engaging with certain learning materials or activities, for which preventative steps like contents notes are unlikely to be effective. In these circumstances, additional advice should be sought, with reference to the individual’s needs, and consulting the University’s Safeguarding team and </w:t>
      </w:r>
      <w:hyperlink r:id="rId22" w:history="1">
        <w:r w:rsidRPr="00C05A9F">
          <w:rPr>
            <w:rFonts w:ascii="Arial" w:eastAsiaTheme="majorEastAsia" w:hAnsi="Arial" w:cs="Arial"/>
            <w:color w:val="000000" w:themeColor="text1"/>
            <w:szCs w:val="24"/>
            <w:u w:val="single"/>
          </w:rPr>
          <w:t>Safeguarding Policy for Children, Young People, and Vulnerable Adults</w:t>
        </w:r>
      </w:hyperlink>
      <w:r w:rsidRPr="00C05A9F">
        <w:rPr>
          <w:rFonts w:ascii="Arial" w:eastAsiaTheme="majorEastAsia" w:hAnsi="Arial" w:cs="Arial"/>
          <w:sz w:val="24"/>
          <w:szCs w:val="24"/>
          <w:vertAlign w:val="superscript"/>
        </w:rPr>
        <w:footnoteReference w:id="11"/>
      </w:r>
      <w:r w:rsidRPr="00C05A9F">
        <w:rPr>
          <w:rFonts w:ascii="Arial" w:hAnsi="Arial" w:cs="Arial"/>
          <w:sz w:val="24"/>
          <w:szCs w:val="24"/>
        </w:rPr>
        <w:t>.</w:t>
      </w:r>
    </w:p>
    <w:p w14:paraId="4066E560"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 xml:space="preserve">Despite </w:t>
      </w:r>
      <w:proofErr w:type="gramStart"/>
      <w:r w:rsidRPr="00C05A9F">
        <w:rPr>
          <w:rFonts w:ascii="Arial" w:hAnsi="Arial" w:cs="Arial"/>
          <w:sz w:val="24"/>
          <w:szCs w:val="24"/>
        </w:rPr>
        <w:t>the majority of</w:t>
      </w:r>
      <w:proofErr w:type="gramEnd"/>
      <w:r w:rsidRPr="00C05A9F">
        <w:rPr>
          <w:rFonts w:ascii="Arial" w:hAnsi="Arial" w:cs="Arial"/>
          <w:sz w:val="24"/>
          <w:szCs w:val="24"/>
        </w:rPr>
        <w:t xml:space="preserve"> students attending university being legally considered to be adults, some students at Essex enrol on courses before they reach the age of 18.  In most instances these students are under 18 only for part of their first year of undergraduate study. Normally, you will be made aware of those students enrolled on your module who are under 18. Such students should not be exposed to materials for which there is a definite, often independently established, age guidance rating attached such as any film material classified as 18 or R18 by the </w:t>
      </w:r>
      <w:hyperlink r:id="rId23" w:history="1">
        <w:r w:rsidRPr="00C05A9F">
          <w:rPr>
            <w:rFonts w:ascii="Arial" w:eastAsiaTheme="majorEastAsia" w:hAnsi="Arial" w:cs="Arial"/>
            <w:color w:val="000000" w:themeColor="text1"/>
            <w:szCs w:val="24"/>
            <w:u w:val="single"/>
          </w:rPr>
          <w:t>British Board of Film Classification</w:t>
        </w:r>
      </w:hyperlink>
      <w:r w:rsidRPr="00C05A9F">
        <w:rPr>
          <w:rFonts w:ascii="Arial" w:eastAsiaTheme="majorEastAsia" w:hAnsi="Arial" w:cs="Arial"/>
          <w:sz w:val="24"/>
          <w:szCs w:val="24"/>
          <w:vertAlign w:val="superscript"/>
        </w:rPr>
        <w:footnoteReference w:id="12"/>
      </w:r>
      <w:r w:rsidRPr="00C05A9F">
        <w:rPr>
          <w:rFonts w:ascii="Arial" w:hAnsi="Arial" w:cs="Arial"/>
          <w:sz w:val="24"/>
          <w:szCs w:val="24"/>
        </w:rPr>
        <w:t xml:space="preserve">, or any gaming material with a PEGI rating of 18 by the </w:t>
      </w:r>
      <w:hyperlink r:id="rId24" w:history="1">
        <w:r w:rsidRPr="00C05A9F">
          <w:rPr>
            <w:rFonts w:ascii="Arial" w:eastAsiaTheme="majorEastAsia" w:hAnsi="Arial" w:cs="Arial"/>
            <w:color w:val="000000" w:themeColor="text1"/>
            <w:szCs w:val="24"/>
            <w:u w:val="single"/>
          </w:rPr>
          <w:t>Video Standards Committee</w:t>
        </w:r>
      </w:hyperlink>
      <w:r w:rsidRPr="00C05A9F">
        <w:rPr>
          <w:rFonts w:ascii="Arial" w:eastAsiaTheme="majorEastAsia" w:hAnsi="Arial" w:cs="Arial"/>
          <w:sz w:val="24"/>
          <w:szCs w:val="24"/>
          <w:vertAlign w:val="superscript"/>
        </w:rPr>
        <w:footnoteReference w:id="13"/>
      </w:r>
      <w:r w:rsidRPr="00C05A9F">
        <w:rPr>
          <w:rFonts w:ascii="Arial" w:hAnsi="Arial" w:cs="Arial"/>
          <w:sz w:val="24"/>
          <w:szCs w:val="24"/>
        </w:rPr>
        <w:t xml:space="preserve">. However, much of the material you teach will not have been formally ‘classified’ and therefore you must exercise good judgement about whether it is appropriate for students under the age of 18 to engage with such learning activities and materials. </w:t>
      </w:r>
      <w:r w:rsidRPr="00C05A9F">
        <w:rPr>
          <w:rFonts w:ascii="Arial" w:hAnsi="Arial" w:cs="Arial"/>
          <w:sz w:val="24"/>
          <w:szCs w:val="24"/>
        </w:rPr>
        <w:lastRenderedPageBreak/>
        <w:t xml:space="preserve">Treating students less favourably, for example by unjustifiably restricting their access to learning materials because of their age, could be age discrimination unless it can be justified as a proportionate means of achieving a legitimate aim. </w:t>
      </w:r>
    </w:p>
    <w:p w14:paraId="467A6B8B"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The Senior Tutor in your department is responsible for attending to the needs of under 18 students and you should consult with them about materials you teach which you think might not be </w:t>
      </w:r>
      <w:proofErr w:type="gramStart"/>
      <w:r w:rsidRPr="00C05A9F">
        <w:rPr>
          <w:rFonts w:ascii="Arial" w:hAnsi="Arial" w:cs="Arial"/>
          <w:sz w:val="24"/>
          <w:szCs w:val="24"/>
        </w:rPr>
        <w:t>age-appropriate</w:t>
      </w:r>
      <w:proofErr w:type="gramEnd"/>
      <w:r w:rsidRPr="00C05A9F">
        <w:rPr>
          <w:rFonts w:ascii="Arial" w:hAnsi="Arial" w:cs="Arial"/>
          <w:sz w:val="24"/>
          <w:szCs w:val="24"/>
        </w:rPr>
        <w:t xml:space="preserve">. You may also find it helpful to refer to the University’s </w:t>
      </w:r>
      <w:hyperlink r:id="rId25" w:history="1">
        <w:r w:rsidRPr="00C05A9F">
          <w:rPr>
            <w:rFonts w:ascii="Arial" w:eastAsiaTheme="majorEastAsia" w:hAnsi="Arial" w:cs="Arial"/>
            <w:color w:val="000000" w:themeColor="text1"/>
            <w:szCs w:val="24"/>
            <w:u w:val="single"/>
          </w:rPr>
          <w:t>Safeguarding Policy for Children, Young People, and Vulnerable Adults</w:t>
        </w:r>
      </w:hyperlink>
      <w:r w:rsidRPr="00C05A9F">
        <w:rPr>
          <w:rFonts w:ascii="Arial" w:eastAsiaTheme="majorEastAsia" w:hAnsi="Arial" w:cs="Arial"/>
          <w:sz w:val="24"/>
          <w:szCs w:val="24"/>
          <w:vertAlign w:val="superscript"/>
        </w:rPr>
        <w:footnoteReference w:id="14"/>
      </w:r>
      <w:r w:rsidRPr="00C05A9F">
        <w:rPr>
          <w:rFonts w:ascii="Arial" w:hAnsi="Arial" w:cs="Arial"/>
          <w:sz w:val="24"/>
          <w:szCs w:val="24"/>
        </w:rPr>
        <w:t xml:space="preserve">.  </w:t>
      </w:r>
    </w:p>
    <w:p w14:paraId="617C7AE7"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How should I go about writing a content note and how much detail should I include?</w:t>
      </w:r>
    </w:p>
    <w:p w14:paraId="7F83CDBA"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b/>
        <w:t>Content notes can be presented in a variety of different ways and through one or more different channels. Carefully preparation and presentation can have a very positive effect on supporting students to confront and engage with material that they might find challenging. Poorly presented content notes can have the opposite effect in terms of raising anxieties and deterring students from engaging. Should you decide to issue a content note in relation to your teaching, please follow this guidance:</w:t>
      </w:r>
    </w:p>
    <w:p w14:paraId="7E78424A" w14:textId="77777777" w:rsidR="00A20075" w:rsidRPr="00C05A9F" w:rsidRDefault="00A20075" w:rsidP="00A20075">
      <w:pPr>
        <w:tabs>
          <w:tab w:val="left" w:pos="567"/>
        </w:tabs>
        <w:spacing w:before="60" w:after="120" w:line="360" w:lineRule="auto"/>
        <w:ind w:left="567" w:hanging="567"/>
        <w:rPr>
          <w:rFonts w:ascii="Arial" w:hAnsi="Arial" w:cs="Arial"/>
          <w:sz w:val="24"/>
          <w:szCs w:val="24"/>
          <w:u w:val="single"/>
        </w:rPr>
      </w:pPr>
      <w:r w:rsidRPr="00C05A9F">
        <w:rPr>
          <w:rFonts w:ascii="Arial" w:hAnsi="Arial" w:cs="Arial"/>
          <w:sz w:val="24"/>
          <w:szCs w:val="24"/>
          <w:u w:val="single"/>
        </w:rPr>
        <w:t>General versus Targeted Content Notes</w:t>
      </w:r>
    </w:p>
    <w:p w14:paraId="66941C79"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A content note can be issued to provide a general warning about material that features in a whole course, module (or part of), or a series of learning activities. General content notes can be of great benefit in helping students make choices about the type of course they want to study or optional modules that they want to take. General content notes could feature in a prospectus, course handbook, module handbook, or in other places commonly accessed by students such as Moodle. For example:</w:t>
      </w:r>
    </w:p>
    <w:p w14:paraId="5B153715" w14:textId="77777777" w:rsidR="00A20075" w:rsidRPr="00C05A9F" w:rsidRDefault="00A20075" w:rsidP="00A20075">
      <w:pPr>
        <w:numPr>
          <w:ilvl w:val="0"/>
          <w:numId w:val="2"/>
        </w:num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Prospectus - “This degree course contains learning outcomes that will require students to engage with a variety of learning materials and activities on racial hatred and genocide.”</w:t>
      </w:r>
    </w:p>
    <w:p w14:paraId="57EEF466" w14:textId="77777777" w:rsidR="00A20075" w:rsidRPr="00C05A9F" w:rsidRDefault="00A20075" w:rsidP="00A20075">
      <w:pPr>
        <w:numPr>
          <w:ilvl w:val="0"/>
          <w:numId w:val="2"/>
        </w:num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 xml:space="preserve">Module Information - “Students who take the module SX999 will be required to read and reflect upon the diary of an adolescent girl who was </w:t>
      </w:r>
      <w:r w:rsidRPr="00C05A9F">
        <w:rPr>
          <w:rFonts w:ascii="Arial" w:hAnsi="Arial" w:cs="Arial"/>
          <w:sz w:val="24"/>
          <w:szCs w:val="24"/>
        </w:rPr>
        <w:lastRenderedPageBreak/>
        <w:t xml:space="preserve">self-harming. The text contains detailed descriptions about the self-harm methods used by the author and the physical and emotional impact on her.”   </w:t>
      </w:r>
    </w:p>
    <w:p w14:paraId="0522C9BF" w14:textId="77777777" w:rsidR="00A20075" w:rsidRPr="00C05A9F" w:rsidRDefault="00A20075" w:rsidP="00A20075">
      <w:pPr>
        <w:numPr>
          <w:ilvl w:val="0"/>
          <w:numId w:val="3"/>
        </w:numPr>
        <w:tabs>
          <w:tab w:val="left" w:pos="993"/>
        </w:tabs>
        <w:spacing w:before="60" w:after="120" w:line="360" w:lineRule="auto"/>
        <w:contextualSpacing/>
        <w:rPr>
          <w:rFonts w:ascii="Arial" w:hAnsi="Arial" w:cs="Arial"/>
          <w:sz w:val="24"/>
          <w:szCs w:val="24"/>
        </w:rPr>
      </w:pPr>
      <w:r w:rsidRPr="00C05A9F">
        <w:rPr>
          <w:rFonts w:ascii="Arial" w:hAnsi="Arial" w:cs="Arial"/>
          <w:sz w:val="24"/>
          <w:szCs w:val="24"/>
        </w:rPr>
        <w:t xml:space="preserve">Usually, such generic content notes about course or modules are insufficient on their own and should be </w:t>
      </w:r>
      <w:proofErr w:type="gramStart"/>
      <w:r w:rsidRPr="00C05A9F">
        <w:rPr>
          <w:rFonts w:ascii="Arial" w:hAnsi="Arial" w:cs="Arial"/>
          <w:sz w:val="24"/>
          <w:szCs w:val="24"/>
        </w:rPr>
        <w:t>followed-up</w:t>
      </w:r>
      <w:proofErr w:type="gramEnd"/>
      <w:r w:rsidRPr="00C05A9F">
        <w:rPr>
          <w:rFonts w:ascii="Arial" w:hAnsi="Arial" w:cs="Arial"/>
          <w:sz w:val="24"/>
          <w:szCs w:val="24"/>
        </w:rPr>
        <w:t xml:space="preserve"> with one or more targeted content notes as students encounter specific material. For example:</w:t>
      </w:r>
    </w:p>
    <w:p w14:paraId="22A24BF3" w14:textId="77777777" w:rsidR="00A20075" w:rsidRPr="00C05A9F" w:rsidRDefault="00A20075" w:rsidP="00A20075">
      <w:pPr>
        <w:numPr>
          <w:ilvl w:val="0"/>
          <w:numId w:val="2"/>
        </w:num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E-mail to students - “Next week’s lecture will relate to sports injuries.  Graphic images of injuries suffered by athletes will be presented including exposed fractures and dislocated joints.”</w:t>
      </w:r>
    </w:p>
    <w:p w14:paraId="47487F85" w14:textId="77777777" w:rsidR="00A20075" w:rsidRPr="00C05A9F" w:rsidRDefault="00A20075" w:rsidP="00A20075">
      <w:pPr>
        <w:numPr>
          <w:ilvl w:val="0"/>
          <w:numId w:val="2"/>
        </w:numPr>
        <w:tabs>
          <w:tab w:val="left" w:pos="993"/>
        </w:tabs>
        <w:spacing w:before="60" w:after="120" w:line="360" w:lineRule="auto"/>
        <w:ind w:left="993" w:hanging="426"/>
        <w:rPr>
          <w:rFonts w:ascii="Arial" w:hAnsi="Arial" w:cs="Arial"/>
          <w:sz w:val="24"/>
          <w:szCs w:val="24"/>
        </w:rPr>
      </w:pPr>
      <w:r w:rsidRPr="00C05A9F">
        <w:rPr>
          <w:rFonts w:ascii="Arial" w:hAnsi="Arial" w:cs="Arial"/>
          <w:sz w:val="24"/>
          <w:szCs w:val="24"/>
        </w:rPr>
        <w:t xml:space="preserve">Verbal content </w:t>
      </w:r>
      <w:proofErr w:type="gramStart"/>
      <w:r w:rsidRPr="00C05A9F">
        <w:rPr>
          <w:rFonts w:ascii="Arial" w:hAnsi="Arial" w:cs="Arial"/>
          <w:sz w:val="24"/>
          <w:szCs w:val="24"/>
        </w:rPr>
        <w:t>note</w:t>
      </w:r>
      <w:proofErr w:type="gramEnd"/>
      <w:r w:rsidRPr="00C05A9F">
        <w:rPr>
          <w:rFonts w:ascii="Arial" w:hAnsi="Arial" w:cs="Arial"/>
          <w:sz w:val="24"/>
          <w:szCs w:val="24"/>
        </w:rPr>
        <w:t xml:space="preserve"> during a lecture – “The next slide contains an embedded video lasting 30 seconds. The video is of a surgical intervention showing a surgical plate being attached to a fractured bone.”   </w:t>
      </w:r>
    </w:p>
    <w:p w14:paraId="4350EDC7" w14:textId="77777777" w:rsidR="00A20075" w:rsidRPr="00C05A9F" w:rsidRDefault="00A20075" w:rsidP="00A20075">
      <w:pPr>
        <w:tabs>
          <w:tab w:val="left" w:pos="567"/>
        </w:tabs>
        <w:spacing w:before="60" w:after="120" w:line="360" w:lineRule="auto"/>
        <w:ind w:left="567" w:hanging="567"/>
        <w:rPr>
          <w:rFonts w:ascii="Arial" w:hAnsi="Arial" w:cs="Arial"/>
          <w:sz w:val="24"/>
          <w:szCs w:val="24"/>
          <w:u w:val="single"/>
        </w:rPr>
      </w:pPr>
      <w:r w:rsidRPr="00C05A9F">
        <w:rPr>
          <w:rFonts w:ascii="Arial" w:hAnsi="Arial" w:cs="Arial"/>
          <w:sz w:val="24"/>
          <w:szCs w:val="24"/>
          <w:u w:val="single"/>
        </w:rPr>
        <w:t>Detail and Specificity of Content Notes</w:t>
      </w:r>
    </w:p>
    <w:p w14:paraId="12BECAAE"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Content notes that are too vague can cause, rather than reduce, anxiety. Instead of writing something vague like, “The next slide contains an image that you may find uncomfortable”, it is always better to be more specific about the type and severity of the subject, for example, “The next slide contains an image of a women who was the victim of domestic violence. The image is of severe bruising and cuts to her face.”</w:t>
      </w:r>
    </w:p>
    <w:p w14:paraId="3C723174" w14:textId="77777777" w:rsidR="00A20075" w:rsidRPr="00C05A9F" w:rsidRDefault="00A20075" w:rsidP="00A20075">
      <w:pPr>
        <w:tabs>
          <w:tab w:val="left" w:pos="567"/>
        </w:tabs>
        <w:spacing w:before="60" w:after="120" w:line="360" w:lineRule="auto"/>
        <w:ind w:left="567" w:hanging="567"/>
        <w:rPr>
          <w:rFonts w:ascii="Arial" w:hAnsi="Arial" w:cs="Arial"/>
          <w:sz w:val="24"/>
          <w:szCs w:val="24"/>
          <w:u w:val="single"/>
        </w:rPr>
      </w:pPr>
      <w:r w:rsidRPr="00C05A9F">
        <w:rPr>
          <w:rFonts w:ascii="Arial" w:hAnsi="Arial" w:cs="Arial"/>
          <w:sz w:val="24"/>
          <w:szCs w:val="24"/>
          <w:u w:val="single"/>
        </w:rPr>
        <w:t>Timing and Communication of Content Notes</w:t>
      </w:r>
    </w:p>
    <w:p w14:paraId="03E00A7B"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Whenever possible it is best to provide a specific content note several days or more before students encounter the material through a lecture or other learning activity. This is best done through email or Moodle, or by announcing the content note in the preceding lecture. One or more of these, or other, channels should be used to reduce the chance of a student missing a content note.</w:t>
      </w:r>
    </w:p>
    <w:p w14:paraId="44FED445" w14:textId="77777777" w:rsidR="00A20075" w:rsidRPr="00C05A9F" w:rsidRDefault="00A20075" w:rsidP="00A20075">
      <w:pPr>
        <w:tabs>
          <w:tab w:val="left" w:pos="567"/>
        </w:tabs>
        <w:spacing w:before="60" w:after="120" w:line="360" w:lineRule="auto"/>
        <w:ind w:left="567" w:hanging="567"/>
        <w:rPr>
          <w:rFonts w:ascii="Arial" w:hAnsi="Arial" w:cs="Arial"/>
          <w:sz w:val="24"/>
          <w:szCs w:val="24"/>
          <w:u w:val="single"/>
        </w:rPr>
      </w:pPr>
      <w:r w:rsidRPr="00C05A9F">
        <w:rPr>
          <w:rFonts w:ascii="Arial" w:hAnsi="Arial" w:cs="Arial"/>
          <w:sz w:val="24"/>
          <w:szCs w:val="24"/>
          <w:u w:val="single"/>
        </w:rPr>
        <w:t>Content notes for learning activities</w:t>
      </w:r>
    </w:p>
    <w:p w14:paraId="7F222EC2"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 xml:space="preserve">Content notes may also be used in relation to </w:t>
      </w:r>
      <w:proofErr w:type="gramStart"/>
      <w:r w:rsidRPr="00C05A9F">
        <w:rPr>
          <w:rFonts w:ascii="Arial" w:hAnsi="Arial" w:cs="Arial"/>
          <w:sz w:val="24"/>
          <w:szCs w:val="24"/>
        </w:rPr>
        <w:t>learning</w:t>
      </w:r>
      <w:proofErr w:type="gramEnd"/>
      <w:r w:rsidRPr="00C05A9F">
        <w:rPr>
          <w:rFonts w:ascii="Arial" w:hAnsi="Arial" w:cs="Arial"/>
          <w:sz w:val="24"/>
          <w:szCs w:val="24"/>
        </w:rPr>
        <w:t xml:space="preserve"> activities. For example:</w:t>
      </w:r>
    </w:p>
    <w:p w14:paraId="5D68C48E" w14:textId="77777777" w:rsidR="00A20075" w:rsidRPr="00C05A9F" w:rsidRDefault="00A20075" w:rsidP="00A20075">
      <w:pPr>
        <w:tabs>
          <w:tab w:val="left" w:pos="567"/>
        </w:tabs>
        <w:spacing w:before="60" w:after="120" w:line="360" w:lineRule="auto"/>
        <w:ind w:left="567" w:hanging="567"/>
        <w:rPr>
          <w:rFonts w:ascii="Arial" w:hAnsi="Arial" w:cs="Arial"/>
          <w:sz w:val="24"/>
          <w:szCs w:val="24"/>
        </w:rPr>
      </w:pPr>
      <w:r w:rsidRPr="00C05A9F">
        <w:rPr>
          <w:rFonts w:ascii="Arial" w:hAnsi="Arial" w:cs="Arial"/>
          <w:sz w:val="24"/>
          <w:szCs w:val="24"/>
        </w:rPr>
        <w:tab/>
        <w:t xml:space="preserve">“In the next class you will be asked to carry out a problem-based learning task in which you will work in a small group of 6-8 other students in which you adopt one of the roles of a multi-agency case committee (social worker, housing officer, teacher, parole officer, child protection police officer, teacher, community nurse etc.). In the problem-based scenario you will be asked as a group to consider how best to safeguard a 3-year-old boy who has come to the </w:t>
      </w:r>
      <w:r w:rsidRPr="00C05A9F">
        <w:rPr>
          <w:rFonts w:ascii="Arial" w:hAnsi="Arial" w:cs="Arial"/>
          <w:sz w:val="24"/>
          <w:szCs w:val="24"/>
        </w:rPr>
        <w:lastRenderedPageBreak/>
        <w:t>attention of social services and is suspected to be the victim of sexual abuse by member of his family. This activity will involve reflecting upon, and discussing with your student peers, circumstances that you may find distressing or upsetting including reading witness statements that contain detailed and explicit descriptions of intimate injuries sustained by the victim.”</w:t>
      </w:r>
    </w:p>
    <w:p w14:paraId="17497400" w14:textId="77777777" w:rsidR="00A20075" w:rsidRPr="00C05A9F" w:rsidRDefault="00A20075" w:rsidP="00A20075">
      <w:pPr>
        <w:tabs>
          <w:tab w:val="left" w:pos="567"/>
        </w:tabs>
        <w:spacing w:before="60" w:after="120" w:line="360" w:lineRule="auto"/>
        <w:ind w:left="567" w:hanging="567"/>
        <w:rPr>
          <w:rFonts w:ascii="Arial" w:hAnsi="Arial" w:cs="Arial"/>
          <w:sz w:val="24"/>
          <w:szCs w:val="24"/>
          <w:u w:val="single"/>
        </w:rPr>
      </w:pPr>
      <w:r w:rsidRPr="00C05A9F">
        <w:rPr>
          <w:rFonts w:ascii="Arial" w:hAnsi="Arial" w:cs="Arial"/>
          <w:sz w:val="24"/>
          <w:szCs w:val="24"/>
          <w:u w:val="single"/>
        </w:rPr>
        <w:t>Content notes for textual and reading list materials</w:t>
      </w:r>
    </w:p>
    <w:p w14:paraId="77F3D380" w14:textId="77777777" w:rsidR="00A20075" w:rsidRPr="00C05A9F" w:rsidRDefault="00A20075" w:rsidP="00A20075">
      <w:pPr>
        <w:numPr>
          <w:ilvl w:val="0"/>
          <w:numId w:val="3"/>
        </w:numPr>
        <w:tabs>
          <w:tab w:val="left" w:pos="567"/>
        </w:tabs>
        <w:spacing w:before="60" w:after="120" w:line="360" w:lineRule="auto"/>
        <w:rPr>
          <w:rFonts w:ascii="Arial" w:hAnsi="Arial" w:cs="Arial"/>
          <w:sz w:val="24"/>
          <w:szCs w:val="24"/>
        </w:rPr>
      </w:pPr>
      <w:r w:rsidRPr="00C05A9F">
        <w:rPr>
          <w:rFonts w:ascii="Arial" w:hAnsi="Arial" w:cs="Arial"/>
          <w:sz w:val="24"/>
          <w:szCs w:val="24"/>
        </w:rPr>
        <w:t xml:space="preserve">Examples of content notes for images, slides, videos, and activities are provided above; however, there may be instances where you wish to issue a content note in relation to text that a student will encounter, for instance in a book included on the reading list. </w:t>
      </w:r>
      <w:r w:rsidRPr="00C05A9F">
        <w:rPr>
          <w:rFonts w:ascii="Arial" w:eastAsia="Calibri" w:hAnsi="Arial" w:cs="Arial"/>
          <w:sz w:val="24"/>
          <w:szCs w:val="24"/>
        </w:rPr>
        <w:t>These notes can be added to the online reading list through a student note.</w:t>
      </w:r>
      <w:r w:rsidRPr="00C05A9F">
        <w:rPr>
          <w:rFonts w:ascii="Arial" w:hAnsi="Arial" w:cs="Arial"/>
          <w:sz w:val="24"/>
          <w:szCs w:val="24"/>
        </w:rPr>
        <w:t xml:space="preserve"> For example:</w:t>
      </w:r>
    </w:p>
    <w:p w14:paraId="6005DBD8" w14:textId="77777777" w:rsidR="00A20075" w:rsidRPr="00C05A9F" w:rsidRDefault="00A20075" w:rsidP="00A20075">
      <w:pPr>
        <w:tabs>
          <w:tab w:val="left" w:pos="567"/>
        </w:tabs>
        <w:spacing w:before="60" w:after="120" w:line="360" w:lineRule="auto"/>
        <w:ind w:left="567" w:hanging="567"/>
        <w:rPr>
          <w:rFonts w:ascii="Arial" w:hAnsi="Arial" w:cs="Arial"/>
          <w:sz w:val="24"/>
          <w:szCs w:val="24"/>
        </w:rPr>
      </w:pPr>
      <w:r w:rsidRPr="00C05A9F">
        <w:rPr>
          <w:rFonts w:ascii="Arial" w:hAnsi="Arial" w:cs="Arial"/>
          <w:sz w:val="24"/>
          <w:szCs w:val="24"/>
        </w:rPr>
        <w:tab/>
        <w:t xml:space="preserve">“Chapter 13 of </w:t>
      </w:r>
      <w:r w:rsidRPr="00C05A9F">
        <w:rPr>
          <w:rFonts w:ascii="Arial" w:hAnsi="Arial" w:cs="Arial"/>
          <w:i/>
          <w:iCs/>
          <w:sz w:val="24"/>
          <w:szCs w:val="24"/>
        </w:rPr>
        <w:t xml:space="preserve">The Hiding Place </w:t>
      </w:r>
      <w:r w:rsidRPr="00C05A9F">
        <w:rPr>
          <w:rFonts w:ascii="Arial" w:hAnsi="Arial" w:cs="Arial"/>
          <w:sz w:val="24"/>
          <w:szCs w:val="24"/>
        </w:rPr>
        <w:t xml:space="preserve">by Corrie ten Boom describes the journey taken by the author and her sister to </w:t>
      </w:r>
      <w:proofErr w:type="spellStart"/>
      <w:r w:rsidRPr="00C05A9F">
        <w:rPr>
          <w:rFonts w:ascii="Arial" w:hAnsi="Arial" w:cs="Arial"/>
          <w:sz w:val="24"/>
          <w:szCs w:val="24"/>
        </w:rPr>
        <w:t>Ravensbruck</w:t>
      </w:r>
      <w:proofErr w:type="spellEnd"/>
      <w:r w:rsidRPr="00C05A9F">
        <w:rPr>
          <w:rFonts w:ascii="Arial" w:hAnsi="Arial" w:cs="Arial"/>
          <w:sz w:val="24"/>
          <w:szCs w:val="24"/>
        </w:rPr>
        <w:t xml:space="preserve"> concentration camp. Explicit descriptive detail is given in the text about the inhumane conditions suffered on the train and the violent and degrading behaviour by the guards towards the author and her sister.”</w:t>
      </w:r>
    </w:p>
    <w:p w14:paraId="5BCFE188"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If I still feel unsure, where can I seek further advice on content notes?</w:t>
      </w:r>
    </w:p>
    <w:p w14:paraId="510C061B" w14:textId="77777777" w:rsidR="00A20075" w:rsidRPr="00C05A9F" w:rsidRDefault="00A20075" w:rsidP="00A20075">
      <w:pPr>
        <w:numPr>
          <w:ilvl w:val="0"/>
          <w:numId w:val="3"/>
        </w:numPr>
        <w:tabs>
          <w:tab w:val="left" w:pos="567"/>
        </w:tabs>
        <w:spacing w:before="60" w:after="120" w:line="360" w:lineRule="auto"/>
        <w:contextualSpacing/>
        <w:rPr>
          <w:rFonts w:ascii="Arial" w:hAnsi="Arial" w:cs="Arial"/>
          <w:sz w:val="24"/>
          <w:szCs w:val="24"/>
        </w:rPr>
      </w:pPr>
      <w:r w:rsidRPr="00C05A9F">
        <w:rPr>
          <w:rFonts w:ascii="Arial" w:hAnsi="Arial" w:cs="Arial"/>
          <w:sz w:val="24"/>
          <w:szCs w:val="24"/>
        </w:rPr>
        <w:t>In the first instance, you may consult with your Director of Education or Head of Department. Further help with content notes may also be available by contacting your academic library liaison officer (</w:t>
      </w:r>
      <w:hyperlink r:id="rId26" w:history="1">
        <w:r w:rsidRPr="00C05A9F">
          <w:rPr>
            <w:rFonts w:ascii="Arial" w:eastAsiaTheme="majorEastAsia" w:hAnsi="Arial" w:cs="Arial"/>
            <w:color w:val="000000" w:themeColor="text1"/>
            <w:szCs w:val="24"/>
            <w:u w:val="single"/>
          </w:rPr>
          <w:t>libline@essex.ac.uk</w:t>
        </w:r>
      </w:hyperlink>
      <w:r w:rsidRPr="00C05A9F">
        <w:rPr>
          <w:rFonts w:ascii="Arial" w:hAnsi="Arial" w:cs="Arial"/>
          <w:sz w:val="24"/>
          <w:szCs w:val="24"/>
        </w:rPr>
        <w:t>).</w:t>
      </w:r>
    </w:p>
    <w:p w14:paraId="555322A2" w14:textId="77777777" w:rsidR="00A20075" w:rsidRPr="00C05A9F" w:rsidRDefault="00A20075" w:rsidP="00A20075">
      <w:pPr>
        <w:spacing w:before="60" w:after="120" w:line="360" w:lineRule="auto"/>
        <w:rPr>
          <w:rFonts w:ascii="Arial" w:hAnsi="Arial" w:cs="Arial"/>
          <w:b/>
          <w:bCs/>
          <w:sz w:val="24"/>
          <w:szCs w:val="24"/>
        </w:rPr>
      </w:pPr>
      <w:r w:rsidRPr="00C05A9F">
        <w:rPr>
          <w:rFonts w:ascii="Arial" w:hAnsi="Arial" w:cs="Arial"/>
          <w:b/>
          <w:bCs/>
          <w:sz w:val="24"/>
          <w:szCs w:val="24"/>
        </w:rPr>
        <w:t>References and further reading</w:t>
      </w:r>
    </w:p>
    <w:p w14:paraId="71647F1C"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1.</w:t>
      </w:r>
      <w:r w:rsidRPr="00C05A9F">
        <w:rPr>
          <w:rFonts w:ascii="Arial" w:hAnsi="Arial" w:cs="Arial"/>
          <w:sz w:val="24"/>
          <w:szCs w:val="24"/>
        </w:rPr>
        <w:tab/>
        <w:t>Lockhart, E.A., 2016. Why trigger warnings are beneficial, perhaps even necessary. </w:t>
      </w:r>
      <w:r w:rsidRPr="00C05A9F">
        <w:rPr>
          <w:rFonts w:ascii="Arial" w:hAnsi="Arial" w:cs="Arial"/>
          <w:i/>
          <w:iCs/>
          <w:sz w:val="24"/>
          <w:szCs w:val="24"/>
        </w:rPr>
        <w:t>First Amendment Studies</w:t>
      </w:r>
      <w:r w:rsidRPr="00C05A9F">
        <w:rPr>
          <w:rFonts w:ascii="Arial" w:hAnsi="Arial" w:cs="Arial"/>
          <w:sz w:val="24"/>
          <w:szCs w:val="24"/>
        </w:rPr>
        <w:t>, </w:t>
      </w:r>
      <w:r w:rsidRPr="00C05A9F">
        <w:rPr>
          <w:rFonts w:ascii="Arial" w:hAnsi="Arial" w:cs="Arial"/>
          <w:i/>
          <w:iCs/>
          <w:sz w:val="24"/>
          <w:szCs w:val="24"/>
        </w:rPr>
        <w:t>50</w:t>
      </w:r>
      <w:r w:rsidRPr="00C05A9F">
        <w:rPr>
          <w:rFonts w:ascii="Arial" w:hAnsi="Arial" w:cs="Arial"/>
          <w:sz w:val="24"/>
          <w:szCs w:val="24"/>
        </w:rPr>
        <w:t>(2), 59-69.</w:t>
      </w:r>
    </w:p>
    <w:p w14:paraId="376D4258"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2.</w:t>
      </w:r>
      <w:r w:rsidRPr="00C05A9F">
        <w:rPr>
          <w:rFonts w:ascii="Arial" w:hAnsi="Arial" w:cs="Arial"/>
          <w:sz w:val="24"/>
          <w:szCs w:val="24"/>
        </w:rPr>
        <w:tab/>
        <w:t xml:space="preserve">Spencer, L. G., &amp; </w:t>
      </w:r>
      <w:proofErr w:type="spellStart"/>
      <w:r w:rsidRPr="00C05A9F">
        <w:rPr>
          <w:rFonts w:ascii="Arial" w:hAnsi="Arial" w:cs="Arial"/>
          <w:sz w:val="24"/>
          <w:szCs w:val="24"/>
        </w:rPr>
        <w:t>Kulbaga</w:t>
      </w:r>
      <w:proofErr w:type="spellEnd"/>
      <w:r w:rsidRPr="00C05A9F">
        <w:rPr>
          <w:rFonts w:ascii="Arial" w:hAnsi="Arial" w:cs="Arial"/>
          <w:sz w:val="24"/>
          <w:szCs w:val="24"/>
        </w:rPr>
        <w:t>, T. A. (2018). Trigger warnings as respect for student boundaries in university classrooms. </w:t>
      </w:r>
      <w:r w:rsidRPr="00C05A9F">
        <w:rPr>
          <w:rFonts w:ascii="Arial" w:hAnsi="Arial" w:cs="Arial"/>
          <w:i/>
          <w:iCs/>
          <w:sz w:val="24"/>
          <w:szCs w:val="24"/>
        </w:rPr>
        <w:t>Journal of Curriculum and Pedagogy</w:t>
      </w:r>
      <w:r w:rsidRPr="00C05A9F">
        <w:rPr>
          <w:rFonts w:ascii="Arial" w:hAnsi="Arial" w:cs="Arial"/>
          <w:sz w:val="24"/>
          <w:szCs w:val="24"/>
        </w:rPr>
        <w:t>, </w:t>
      </w:r>
      <w:r w:rsidRPr="00C05A9F">
        <w:rPr>
          <w:rFonts w:ascii="Arial" w:hAnsi="Arial" w:cs="Arial"/>
          <w:i/>
          <w:iCs/>
          <w:sz w:val="24"/>
          <w:szCs w:val="24"/>
        </w:rPr>
        <w:t>15</w:t>
      </w:r>
      <w:r w:rsidRPr="00C05A9F">
        <w:rPr>
          <w:rFonts w:ascii="Arial" w:hAnsi="Arial" w:cs="Arial"/>
          <w:sz w:val="24"/>
          <w:szCs w:val="24"/>
        </w:rPr>
        <w:t>(1), 106-122.</w:t>
      </w:r>
    </w:p>
    <w:p w14:paraId="7596F678"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3.</w:t>
      </w:r>
      <w:r w:rsidRPr="00C05A9F">
        <w:rPr>
          <w:rFonts w:ascii="Arial" w:hAnsi="Arial" w:cs="Arial"/>
          <w:sz w:val="24"/>
          <w:szCs w:val="24"/>
        </w:rPr>
        <w:tab/>
        <w:t>Stringer, R. (2016). Reflection from the field: Trigger warnings in university teaching. Women's Studies Journal, 30(2), 62-66.</w:t>
      </w:r>
    </w:p>
    <w:p w14:paraId="3B7A44E4"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4.</w:t>
      </w:r>
      <w:r w:rsidRPr="00C05A9F">
        <w:rPr>
          <w:rFonts w:ascii="Arial" w:hAnsi="Arial" w:cs="Arial"/>
          <w:sz w:val="24"/>
          <w:szCs w:val="24"/>
        </w:rPr>
        <w:tab/>
        <w:t xml:space="preserve">Carter, A.M., 2015. Teaching with trauma: Trigger warnings, feminism, and disability pedagogy. </w:t>
      </w:r>
      <w:r w:rsidRPr="00C05A9F">
        <w:rPr>
          <w:rFonts w:ascii="Arial" w:hAnsi="Arial" w:cs="Arial"/>
          <w:i/>
          <w:iCs/>
          <w:sz w:val="24"/>
          <w:szCs w:val="24"/>
        </w:rPr>
        <w:t>Disability Studies Quarterly</w:t>
      </w:r>
      <w:r w:rsidRPr="00C05A9F">
        <w:rPr>
          <w:rFonts w:ascii="Arial" w:hAnsi="Arial" w:cs="Arial"/>
          <w:sz w:val="24"/>
          <w:szCs w:val="24"/>
        </w:rPr>
        <w:t>, 35(2), 10.</w:t>
      </w:r>
    </w:p>
    <w:p w14:paraId="5CB1BCDD"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lastRenderedPageBreak/>
        <w:t>5.</w:t>
      </w:r>
      <w:r w:rsidRPr="00C05A9F">
        <w:rPr>
          <w:rFonts w:ascii="Arial" w:hAnsi="Arial" w:cs="Arial"/>
          <w:sz w:val="24"/>
          <w:szCs w:val="24"/>
        </w:rPr>
        <w:tab/>
        <w:t xml:space="preserve">Bellet, B.W., Jones, P.J., </w:t>
      </w:r>
      <w:proofErr w:type="spellStart"/>
      <w:r w:rsidRPr="00C05A9F">
        <w:rPr>
          <w:rFonts w:ascii="Arial" w:hAnsi="Arial" w:cs="Arial"/>
          <w:sz w:val="24"/>
          <w:szCs w:val="24"/>
        </w:rPr>
        <w:t>Meyersburg</w:t>
      </w:r>
      <w:proofErr w:type="spellEnd"/>
      <w:r w:rsidRPr="00C05A9F">
        <w:rPr>
          <w:rFonts w:ascii="Arial" w:hAnsi="Arial" w:cs="Arial"/>
          <w:sz w:val="24"/>
          <w:szCs w:val="24"/>
        </w:rPr>
        <w:t xml:space="preserve">, C.A., Brenneman, M.M., Morehead, K.E. and McNally, R.J., 2020. Trigger warnings and resilience in college students: A preregistered replication and extension. </w:t>
      </w:r>
      <w:r w:rsidRPr="00C05A9F">
        <w:rPr>
          <w:rFonts w:ascii="Arial" w:hAnsi="Arial" w:cs="Arial"/>
          <w:i/>
          <w:iCs/>
          <w:sz w:val="24"/>
          <w:szCs w:val="24"/>
        </w:rPr>
        <w:t>Journal of Experimental Psychology: Applied</w:t>
      </w:r>
      <w:r w:rsidRPr="00C05A9F">
        <w:rPr>
          <w:rFonts w:ascii="Arial" w:hAnsi="Arial" w:cs="Arial"/>
          <w:sz w:val="24"/>
          <w:szCs w:val="24"/>
        </w:rPr>
        <w:t>, 26(4), 717-723.</w:t>
      </w:r>
    </w:p>
    <w:p w14:paraId="29A7428D"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6.</w:t>
      </w:r>
      <w:r w:rsidRPr="00C05A9F">
        <w:rPr>
          <w:rFonts w:ascii="Arial" w:hAnsi="Arial" w:cs="Arial"/>
          <w:sz w:val="24"/>
          <w:szCs w:val="24"/>
        </w:rPr>
        <w:tab/>
        <w:t xml:space="preserve">Jones, P.J., Bellet, B.W. and McNally, R.J., 2020. Helping or harming? The effect of trigger warnings on individuals with trauma histories. </w:t>
      </w:r>
      <w:r w:rsidRPr="00C05A9F">
        <w:rPr>
          <w:rFonts w:ascii="Arial" w:hAnsi="Arial" w:cs="Arial"/>
          <w:i/>
          <w:iCs/>
          <w:sz w:val="24"/>
          <w:szCs w:val="24"/>
        </w:rPr>
        <w:t>Clinical Psychological Science</w:t>
      </w:r>
      <w:r w:rsidRPr="00C05A9F">
        <w:rPr>
          <w:rFonts w:ascii="Arial" w:hAnsi="Arial" w:cs="Arial"/>
          <w:sz w:val="24"/>
          <w:szCs w:val="24"/>
        </w:rPr>
        <w:t>, 8(5), 905-917.</w:t>
      </w:r>
    </w:p>
    <w:p w14:paraId="10B0F404" w14:textId="77777777" w:rsidR="00A20075" w:rsidRPr="00C05A9F"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7.</w:t>
      </w:r>
      <w:r w:rsidRPr="00C05A9F">
        <w:rPr>
          <w:rFonts w:ascii="Arial" w:hAnsi="Arial" w:cs="Arial"/>
          <w:sz w:val="24"/>
          <w:szCs w:val="24"/>
        </w:rPr>
        <w:tab/>
        <w:t xml:space="preserve">Ellison, J. 2016. Dear class of 2020 student. Retrieved 13/12/22 University of Chicago web </w:t>
      </w:r>
      <w:hyperlink r:id="rId27" w:history="1">
        <w:r w:rsidRPr="00C05A9F">
          <w:rPr>
            <w:rFonts w:ascii="Arial" w:eastAsiaTheme="majorEastAsia" w:hAnsi="Arial" w:cs="Arial"/>
            <w:color w:val="000000" w:themeColor="text1"/>
            <w:szCs w:val="24"/>
            <w:u w:val="single"/>
          </w:rPr>
          <w:t>https://news.uchicago.edu/sites/default/files/attachments/Dear_Class_of_2020_Students.pdf</w:t>
        </w:r>
      </w:hyperlink>
    </w:p>
    <w:p w14:paraId="6F8DFA4B" w14:textId="77777777" w:rsidR="00A20075" w:rsidRDefault="00A20075" w:rsidP="00A20075">
      <w:pPr>
        <w:tabs>
          <w:tab w:val="left" w:pos="426"/>
        </w:tabs>
        <w:spacing w:before="60" w:after="120" w:line="360" w:lineRule="auto"/>
        <w:ind w:left="426" w:hanging="426"/>
        <w:rPr>
          <w:rFonts w:ascii="Arial" w:hAnsi="Arial" w:cs="Arial"/>
          <w:sz w:val="24"/>
          <w:szCs w:val="24"/>
        </w:rPr>
      </w:pPr>
      <w:r w:rsidRPr="00C05A9F">
        <w:rPr>
          <w:rFonts w:ascii="Arial" w:hAnsi="Arial" w:cs="Arial"/>
          <w:sz w:val="24"/>
          <w:szCs w:val="24"/>
        </w:rPr>
        <w:t>8.</w:t>
      </w:r>
      <w:r w:rsidRPr="00C05A9F">
        <w:rPr>
          <w:rFonts w:ascii="Arial" w:hAnsi="Arial" w:cs="Arial"/>
          <w:sz w:val="24"/>
          <w:szCs w:val="24"/>
        </w:rPr>
        <w:tab/>
        <w:t>Equality and Human Rights Commission. (2019). Freedom of expression: A guide for higher education providers and students’ unions in England and Wales. London: Equality and Human Rights Commission.</w:t>
      </w:r>
    </w:p>
    <w:sectPr w:rsidR="00A20075" w:rsidSect="00A2007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F2AC" w14:textId="77777777" w:rsidR="006661E1" w:rsidRDefault="006661E1" w:rsidP="00A20075">
      <w:r>
        <w:separator/>
      </w:r>
    </w:p>
  </w:endnote>
  <w:endnote w:type="continuationSeparator" w:id="0">
    <w:p w14:paraId="71A44394" w14:textId="77777777" w:rsidR="006661E1" w:rsidRDefault="006661E1" w:rsidP="00A2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A08C" w14:textId="77777777" w:rsidR="00A20075" w:rsidRDefault="00A20075" w:rsidP="002E10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26E449" w14:textId="77777777" w:rsidR="00A20075" w:rsidRDefault="00A20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3E71" w14:textId="77777777" w:rsidR="00A20075" w:rsidRDefault="00A20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D344" w14:textId="77777777" w:rsidR="00A20075" w:rsidRDefault="00A2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2CD1" w14:textId="77777777" w:rsidR="006661E1" w:rsidRDefault="006661E1" w:rsidP="00A20075">
      <w:r>
        <w:separator/>
      </w:r>
    </w:p>
  </w:footnote>
  <w:footnote w:type="continuationSeparator" w:id="0">
    <w:p w14:paraId="14BF6751" w14:textId="77777777" w:rsidR="006661E1" w:rsidRDefault="006661E1" w:rsidP="00A20075">
      <w:r>
        <w:continuationSeparator/>
      </w:r>
    </w:p>
  </w:footnote>
  <w:footnote w:id="1">
    <w:p w14:paraId="771A2225" w14:textId="77777777" w:rsidR="00A20075" w:rsidRDefault="00A20075" w:rsidP="00A20075">
      <w:pPr>
        <w:pStyle w:val="FootnoteText"/>
      </w:pPr>
      <w:r>
        <w:rPr>
          <w:rStyle w:val="FootnoteReference"/>
          <w:rFonts w:eastAsiaTheme="majorEastAsia"/>
        </w:rPr>
        <w:footnoteRef/>
      </w:r>
      <w:r>
        <w:t xml:space="preserve"> </w:t>
      </w:r>
      <w:hyperlink r:id="rId1" w:history="1">
        <w:r w:rsidRPr="00B90B5A">
          <w:rPr>
            <w:rStyle w:val="Hyperlink"/>
            <w:rFonts w:eastAsiaTheme="majorEastAsia"/>
          </w:rPr>
          <w:t>https://www.essex.ac.uk/student/professional-services/student-wellbeing-and-inclusivity-team</w:t>
        </w:r>
      </w:hyperlink>
    </w:p>
  </w:footnote>
  <w:footnote w:id="2">
    <w:p w14:paraId="409CE977" w14:textId="77777777" w:rsidR="00A20075" w:rsidRDefault="00A20075" w:rsidP="00A20075">
      <w:pPr>
        <w:pStyle w:val="FootnoteText"/>
      </w:pPr>
      <w:r>
        <w:rPr>
          <w:rStyle w:val="FootnoteReference"/>
          <w:rFonts w:eastAsiaTheme="majorEastAsia"/>
        </w:rPr>
        <w:footnoteRef/>
      </w:r>
      <w:r>
        <w:t xml:space="preserve"> </w:t>
      </w:r>
      <w:r w:rsidRPr="002A58B8">
        <w:rPr>
          <w:rFonts w:cs="Arial"/>
        </w:rPr>
        <w:t xml:space="preserve">The charity </w:t>
      </w:r>
      <w:r w:rsidRPr="003C70AD">
        <w:rPr>
          <w:rFonts w:cs="Arial"/>
        </w:rPr>
        <w:t>PTSDUK</w:t>
      </w:r>
      <w:r w:rsidRPr="003C70AD">
        <w:rPr>
          <w:rStyle w:val="FootnoteReference"/>
          <w:rFonts w:eastAsiaTheme="majorEastAsia" w:cs="Arial"/>
        </w:rPr>
        <w:t xml:space="preserve"> </w:t>
      </w:r>
      <w:r w:rsidRPr="003C70AD">
        <w:rPr>
          <w:rFonts w:cs="Arial"/>
        </w:rPr>
        <w:t>(</w:t>
      </w:r>
      <w:hyperlink r:id="rId2" w:history="1">
        <w:r w:rsidRPr="003C70AD">
          <w:rPr>
            <w:rStyle w:val="Hyperlink"/>
            <w:rFonts w:eastAsiaTheme="majorEastAsia" w:cs="Arial"/>
          </w:rPr>
          <w:t>https://www.ptsduk.org/ptsd-stats/</w:t>
        </w:r>
      </w:hyperlink>
      <w:r w:rsidRPr="003C70AD">
        <w:rPr>
          <w:rStyle w:val="Hyperlink"/>
          <w:rFonts w:eastAsiaTheme="majorEastAsia" w:cs="Arial"/>
        </w:rPr>
        <w:t>)</w:t>
      </w:r>
      <w:r w:rsidRPr="003C70AD">
        <w:rPr>
          <w:rFonts w:cs="Arial"/>
        </w:rPr>
        <w:t xml:space="preserve"> estimates</w:t>
      </w:r>
      <w:r w:rsidRPr="002A58B8">
        <w:rPr>
          <w:rFonts w:cs="Arial"/>
        </w:rPr>
        <w:t xml:space="preserve"> that, at any given time, approximately 4% of people in the general population suffers with PTSD with rates likely to be higher among women and young people. It is therefore very likely that, even in relatively small classes, there will be one or more students who suffer with PTSD</w:t>
      </w:r>
      <w:r>
        <w:rPr>
          <w:rFonts w:cs="Arial"/>
        </w:rPr>
        <w:t>.</w:t>
      </w:r>
    </w:p>
  </w:footnote>
  <w:footnote w:id="3">
    <w:p w14:paraId="5EB5562A" w14:textId="77777777" w:rsidR="00A20075" w:rsidRDefault="00A20075" w:rsidP="00A20075">
      <w:pPr>
        <w:pStyle w:val="FootnoteText"/>
      </w:pPr>
      <w:r>
        <w:rPr>
          <w:rStyle w:val="FootnoteReference"/>
          <w:rFonts w:eastAsiaTheme="majorEastAsia"/>
        </w:rPr>
        <w:footnoteRef/>
      </w:r>
      <w:r>
        <w:t xml:space="preserve"> </w:t>
      </w:r>
      <w:hyperlink r:id="rId3" w:history="1">
        <w:r w:rsidRPr="00B90B5A">
          <w:rPr>
            <w:rStyle w:val="Hyperlink"/>
            <w:rFonts w:eastAsiaTheme="majorEastAsia"/>
          </w:rPr>
          <w:t>https://www.cctl.cam.ac.uk/content-notes/how-use/when-use</w:t>
        </w:r>
      </w:hyperlink>
    </w:p>
  </w:footnote>
  <w:footnote w:id="4">
    <w:p w14:paraId="6DB78496" w14:textId="77777777" w:rsidR="00A20075" w:rsidRDefault="00A20075" w:rsidP="00A20075">
      <w:pPr>
        <w:pStyle w:val="FootnoteText"/>
      </w:pPr>
      <w:r>
        <w:rPr>
          <w:rStyle w:val="FootnoteReference"/>
          <w:rFonts w:eastAsiaTheme="majorEastAsia"/>
        </w:rPr>
        <w:footnoteRef/>
      </w:r>
      <w:r>
        <w:t xml:space="preserve"> </w:t>
      </w:r>
      <w:r w:rsidRPr="000D4853">
        <w:t>https://www.essex.ac.uk/staff/employment-policies-procedures/whistleblowing-policy</w:t>
      </w:r>
    </w:p>
  </w:footnote>
  <w:footnote w:id="5">
    <w:p w14:paraId="34666DF2" w14:textId="77777777" w:rsidR="00A20075" w:rsidRDefault="00A20075" w:rsidP="00A20075">
      <w:pPr>
        <w:pStyle w:val="FootnoteText"/>
      </w:pPr>
      <w:r>
        <w:rPr>
          <w:rStyle w:val="FootnoteReference"/>
          <w:rFonts w:eastAsiaTheme="majorEastAsia"/>
        </w:rPr>
        <w:footnoteRef/>
      </w:r>
      <w:r>
        <w:t xml:space="preserve"> </w:t>
      </w:r>
      <w:hyperlink r:id="rId4" w:history="1">
        <w:r w:rsidRPr="00B90B5A">
          <w:rPr>
            <w:rStyle w:val="Hyperlink"/>
            <w:rFonts w:eastAsiaTheme="majorEastAsia"/>
          </w:rPr>
          <w:t>https://www.essex.ac.uk/governance-and-strategy/governance/policies</w:t>
        </w:r>
      </w:hyperlink>
    </w:p>
  </w:footnote>
  <w:footnote w:id="6">
    <w:p w14:paraId="5894B5B4" w14:textId="77777777" w:rsidR="00A20075" w:rsidRDefault="00A20075" w:rsidP="00A20075">
      <w:pPr>
        <w:pStyle w:val="FootnoteText"/>
      </w:pPr>
      <w:r>
        <w:rPr>
          <w:rStyle w:val="FootnoteReference"/>
          <w:rFonts w:eastAsiaTheme="majorEastAsia"/>
        </w:rPr>
        <w:footnoteRef/>
      </w:r>
      <w:r>
        <w:t xml:space="preserve"> </w:t>
      </w:r>
      <w:hyperlink r:id="rId5" w:history="1">
        <w:r w:rsidRPr="00B90B5A">
          <w:rPr>
            <w:rStyle w:val="Hyperlink"/>
            <w:rFonts w:eastAsiaTheme="majorEastAsia"/>
          </w:rPr>
          <w:t>https://www.essex.ac.uk/visit-us/plan-your-visit/external-speakers</w:t>
        </w:r>
      </w:hyperlink>
    </w:p>
  </w:footnote>
  <w:footnote w:id="7">
    <w:p w14:paraId="5C0B9D98" w14:textId="77777777" w:rsidR="00A20075" w:rsidRDefault="00A20075" w:rsidP="00A20075">
      <w:pPr>
        <w:pStyle w:val="FootnoteText"/>
      </w:pPr>
      <w:r>
        <w:rPr>
          <w:rStyle w:val="FootnoteReference"/>
          <w:rFonts w:eastAsiaTheme="majorEastAsia"/>
        </w:rPr>
        <w:footnoteRef/>
      </w:r>
      <w:r>
        <w:t xml:space="preserve"> </w:t>
      </w:r>
      <w:hyperlink r:id="rId6" w:history="1">
        <w:r w:rsidRPr="00B90B5A">
          <w:rPr>
            <w:rStyle w:val="Hyperlink"/>
            <w:rFonts w:eastAsiaTheme="majorEastAsia"/>
          </w:rPr>
          <w:t>https://www.gov.uk/government/publications/prevent-duty-guidance</w:t>
        </w:r>
      </w:hyperlink>
    </w:p>
  </w:footnote>
  <w:footnote w:id="8">
    <w:p w14:paraId="44A9BCF1" w14:textId="77777777" w:rsidR="00A20075" w:rsidRDefault="00A20075" w:rsidP="00A20075">
      <w:pPr>
        <w:pStyle w:val="FootnoteText"/>
      </w:pPr>
      <w:r>
        <w:rPr>
          <w:rStyle w:val="FootnoteReference"/>
          <w:rFonts w:eastAsiaTheme="majorEastAsia"/>
        </w:rPr>
        <w:footnoteRef/>
      </w:r>
      <w:r>
        <w:t xml:space="preserve"> Hughes, G. &amp; Spanner, L. (2019). The University Mental Health Charter. Leeds: Student Minds</w:t>
      </w:r>
    </w:p>
  </w:footnote>
  <w:footnote w:id="9">
    <w:p w14:paraId="3EC23288" w14:textId="77777777" w:rsidR="00A20075" w:rsidRDefault="00A20075" w:rsidP="00A20075">
      <w:pPr>
        <w:pStyle w:val="FootnoteText"/>
      </w:pPr>
      <w:r>
        <w:rPr>
          <w:rStyle w:val="FootnoteReference"/>
          <w:rFonts w:eastAsiaTheme="majorEastAsia"/>
        </w:rPr>
        <w:footnoteRef/>
      </w:r>
      <w:r>
        <w:t xml:space="preserve"> </w:t>
      </w:r>
      <w:hyperlink r:id="rId7" w:history="1">
        <w:r w:rsidRPr="00B90B5A">
          <w:rPr>
            <w:rStyle w:val="Hyperlink"/>
            <w:rFonts w:eastAsiaTheme="majorEastAsia"/>
          </w:rPr>
          <w:t>https://www.essex.ac.uk/student</w:t>
        </w:r>
      </w:hyperlink>
    </w:p>
  </w:footnote>
  <w:footnote w:id="10">
    <w:p w14:paraId="3B196219" w14:textId="77777777" w:rsidR="00A20075" w:rsidRDefault="00A20075" w:rsidP="00A20075">
      <w:pPr>
        <w:pStyle w:val="FootnoteText"/>
      </w:pPr>
      <w:r>
        <w:rPr>
          <w:rStyle w:val="FootnoteReference"/>
          <w:rFonts w:eastAsiaTheme="majorEastAsia"/>
        </w:rPr>
        <w:footnoteRef/>
      </w:r>
      <w:r>
        <w:t xml:space="preserve"> </w:t>
      </w:r>
      <w:hyperlink r:id="rId8" w:history="1">
        <w:r w:rsidRPr="00B90B5A">
          <w:rPr>
            <w:rStyle w:val="Hyperlink"/>
            <w:rFonts w:eastAsiaTheme="majorEastAsia"/>
          </w:rPr>
          <w:t>https://www.essex.ac.uk/student/professional-services/student-wellbeing-and-inclusivity-team</w:t>
        </w:r>
      </w:hyperlink>
    </w:p>
  </w:footnote>
  <w:footnote w:id="11">
    <w:p w14:paraId="57D538FD" w14:textId="77777777" w:rsidR="00A20075" w:rsidRDefault="00A20075" w:rsidP="00A20075">
      <w:pPr>
        <w:pStyle w:val="FootnoteText"/>
      </w:pPr>
      <w:r>
        <w:rPr>
          <w:rStyle w:val="FootnoteReference"/>
          <w:rFonts w:eastAsiaTheme="majorEastAsia"/>
        </w:rPr>
        <w:footnoteRef/>
      </w:r>
      <w:r>
        <w:t xml:space="preserve"> </w:t>
      </w:r>
      <w:hyperlink r:id="rId9" w:history="1">
        <w:r w:rsidRPr="00B90B5A">
          <w:rPr>
            <w:rStyle w:val="Hyperlink"/>
            <w:rFonts w:eastAsiaTheme="majorEastAsia"/>
          </w:rPr>
          <w:t>https://www.essex.ac.uk/staff/safeguarding/safeguarding-policy-and-guidance</w:t>
        </w:r>
      </w:hyperlink>
    </w:p>
  </w:footnote>
  <w:footnote w:id="12">
    <w:p w14:paraId="29F82EEF" w14:textId="77777777" w:rsidR="00A20075" w:rsidRDefault="00A20075" w:rsidP="00A20075">
      <w:pPr>
        <w:pStyle w:val="FootnoteText"/>
      </w:pPr>
      <w:r>
        <w:rPr>
          <w:rStyle w:val="FootnoteReference"/>
          <w:rFonts w:eastAsiaTheme="majorEastAsia"/>
        </w:rPr>
        <w:footnoteRef/>
      </w:r>
      <w:r>
        <w:t xml:space="preserve"> </w:t>
      </w:r>
      <w:hyperlink r:id="rId10" w:history="1">
        <w:r w:rsidRPr="00B90B5A">
          <w:rPr>
            <w:rStyle w:val="Hyperlink"/>
            <w:rFonts w:eastAsiaTheme="majorEastAsia"/>
          </w:rPr>
          <w:t>https://www.bbfc.co.uk/about-classification</w:t>
        </w:r>
      </w:hyperlink>
    </w:p>
  </w:footnote>
  <w:footnote w:id="13">
    <w:p w14:paraId="312D4551" w14:textId="77777777" w:rsidR="00A20075" w:rsidRDefault="00A20075" w:rsidP="00A20075">
      <w:pPr>
        <w:pStyle w:val="FootnoteText"/>
      </w:pPr>
      <w:r>
        <w:rPr>
          <w:rStyle w:val="FootnoteReference"/>
          <w:rFonts w:eastAsiaTheme="majorEastAsia"/>
        </w:rPr>
        <w:footnoteRef/>
      </w:r>
      <w:r>
        <w:t xml:space="preserve"> </w:t>
      </w:r>
      <w:hyperlink r:id="rId11" w:history="1">
        <w:r w:rsidRPr="00B90B5A">
          <w:rPr>
            <w:rStyle w:val="Hyperlink"/>
            <w:rFonts w:eastAsiaTheme="majorEastAsia"/>
          </w:rPr>
          <w:t>https://videostandards.org.uk/RatingBoard/ratings</w:t>
        </w:r>
      </w:hyperlink>
    </w:p>
  </w:footnote>
  <w:footnote w:id="14">
    <w:p w14:paraId="30C8FAA3" w14:textId="77777777" w:rsidR="00A20075" w:rsidRDefault="00A20075" w:rsidP="00A20075">
      <w:pPr>
        <w:pStyle w:val="FootnoteText"/>
      </w:pPr>
      <w:r>
        <w:rPr>
          <w:rStyle w:val="FootnoteReference"/>
          <w:rFonts w:eastAsiaTheme="majorEastAsia"/>
        </w:rPr>
        <w:footnoteRef/>
      </w:r>
      <w:r>
        <w:t xml:space="preserve"> </w:t>
      </w:r>
      <w:hyperlink r:id="rId12" w:history="1">
        <w:r w:rsidRPr="00B90B5A">
          <w:rPr>
            <w:rStyle w:val="Hyperlink"/>
            <w:rFonts w:eastAsiaTheme="majorEastAsia"/>
          </w:rPr>
          <w:t>https://www.essex.ac.uk/staff/safeguarding/safeguarding-policy-and-guidance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FA43" w14:textId="77777777" w:rsidR="00A20075" w:rsidRDefault="00A20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DCD" w14:textId="77777777" w:rsidR="00A20075" w:rsidRPr="009A2321" w:rsidRDefault="00A20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45EA" w14:textId="77777777" w:rsidR="00A20075" w:rsidRDefault="00A20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52A"/>
    <w:multiLevelType w:val="hybridMultilevel"/>
    <w:tmpl w:val="9BA20B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3C32"/>
    <w:multiLevelType w:val="hybridMultilevel"/>
    <w:tmpl w:val="2A4C1508"/>
    <w:lvl w:ilvl="0" w:tplc="4132970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D4741"/>
    <w:multiLevelType w:val="hybridMultilevel"/>
    <w:tmpl w:val="3E20B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C19BD"/>
    <w:multiLevelType w:val="hybridMultilevel"/>
    <w:tmpl w:val="213416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8217E"/>
    <w:multiLevelType w:val="hybridMultilevel"/>
    <w:tmpl w:val="F90A7CB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6D6349"/>
    <w:multiLevelType w:val="hybridMultilevel"/>
    <w:tmpl w:val="70667FF6"/>
    <w:lvl w:ilvl="0" w:tplc="04090005">
      <w:start w:val="1"/>
      <w:numFmt w:val="bullet"/>
      <w:lvlText w:val=""/>
      <w:lvlJc w:val="left"/>
      <w:pPr>
        <w:ind w:left="742" w:hanging="360"/>
      </w:pPr>
      <w:rPr>
        <w:rFonts w:ascii="Wingdings" w:hAnsi="Wingdings"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6" w15:restartNumberingAfterBreak="0">
    <w:nsid w:val="5EE54311"/>
    <w:multiLevelType w:val="hybridMultilevel"/>
    <w:tmpl w:val="665AEF8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21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0C5938"/>
    <w:multiLevelType w:val="multilevel"/>
    <w:tmpl w:val="38604C42"/>
    <w:lvl w:ilvl="0">
      <w:start w:val="1"/>
      <w:numFmt w:val="decimal"/>
      <w:lvlText w:val="%1"/>
      <w:lvlJc w:val="left"/>
      <w:pPr>
        <w:ind w:left="570" w:hanging="570"/>
      </w:pPr>
      <w:rPr>
        <w:rFonts w:hint="default"/>
      </w:rPr>
    </w:lvl>
    <w:lvl w:ilvl="1">
      <w:start w:val="1"/>
      <w:numFmt w:val="decimal"/>
      <w:lvlText w:val="%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19186698">
    <w:abstractNumId w:val="5"/>
  </w:num>
  <w:num w:numId="2" w16cid:durableId="262878637">
    <w:abstractNumId w:val="3"/>
  </w:num>
  <w:num w:numId="3" w16cid:durableId="1860699619">
    <w:abstractNumId w:val="7"/>
  </w:num>
  <w:num w:numId="4" w16cid:durableId="1964186803">
    <w:abstractNumId w:val="2"/>
  </w:num>
  <w:num w:numId="5" w16cid:durableId="976838558">
    <w:abstractNumId w:val="1"/>
  </w:num>
  <w:num w:numId="6" w16cid:durableId="150604219">
    <w:abstractNumId w:val="0"/>
  </w:num>
  <w:num w:numId="7" w16cid:durableId="2030836062">
    <w:abstractNumId w:val="4"/>
  </w:num>
  <w:num w:numId="8" w16cid:durableId="1507944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75"/>
    <w:rsid w:val="002228B4"/>
    <w:rsid w:val="00414A8E"/>
    <w:rsid w:val="006661E1"/>
    <w:rsid w:val="00787311"/>
    <w:rsid w:val="00985174"/>
    <w:rsid w:val="00A20075"/>
    <w:rsid w:val="00CA79DD"/>
    <w:rsid w:val="00D6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1EFB"/>
  <w15:chartTrackingRefBased/>
  <w15:docId w15:val="{05661472-593A-48F0-ACA8-C31992E3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7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200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200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2007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2007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07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0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0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0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0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07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2007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2007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2007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07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075"/>
    <w:rPr>
      <w:rFonts w:eastAsiaTheme="majorEastAsia" w:cstheme="majorBidi"/>
      <w:color w:val="272727" w:themeColor="text1" w:themeTint="D8"/>
    </w:rPr>
  </w:style>
  <w:style w:type="paragraph" w:styleId="Title">
    <w:name w:val="Title"/>
    <w:basedOn w:val="Normal"/>
    <w:next w:val="Normal"/>
    <w:link w:val="TitleChar"/>
    <w:uiPriority w:val="10"/>
    <w:qFormat/>
    <w:rsid w:val="00A200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0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0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075"/>
    <w:rPr>
      <w:i/>
      <w:iCs/>
      <w:color w:val="404040" w:themeColor="text1" w:themeTint="BF"/>
    </w:rPr>
  </w:style>
  <w:style w:type="paragraph" w:styleId="ListParagraph">
    <w:name w:val="List Paragraph"/>
    <w:basedOn w:val="Normal"/>
    <w:uiPriority w:val="34"/>
    <w:qFormat/>
    <w:rsid w:val="00A20075"/>
    <w:pPr>
      <w:ind w:left="720"/>
      <w:contextualSpacing/>
    </w:pPr>
  </w:style>
  <w:style w:type="character" w:styleId="IntenseEmphasis">
    <w:name w:val="Intense Emphasis"/>
    <w:basedOn w:val="DefaultParagraphFont"/>
    <w:uiPriority w:val="21"/>
    <w:qFormat/>
    <w:rsid w:val="00A20075"/>
    <w:rPr>
      <w:i/>
      <w:iCs/>
      <w:color w:val="365F91" w:themeColor="accent1" w:themeShade="BF"/>
    </w:rPr>
  </w:style>
  <w:style w:type="paragraph" w:styleId="IntenseQuote">
    <w:name w:val="Intense Quote"/>
    <w:basedOn w:val="Normal"/>
    <w:next w:val="Normal"/>
    <w:link w:val="IntenseQuoteChar"/>
    <w:uiPriority w:val="30"/>
    <w:qFormat/>
    <w:rsid w:val="00A200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075"/>
    <w:rPr>
      <w:i/>
      <w:iCs/>
      <w:color w:val="365F91" w:themeColor="accent1" w:themeShade="BF"/>
    </w:rPr>
  </w:style>
  <w:style w:type="character" w:styleId="IntenseReference">
    <w:name w:val="Intense Reference"/>
    <w:basedOn w:val="DefaultParagraphFont"/>
    <w:uiPriority w:val="32"/>
    <w:qFormat/>
    <w:rsid w:val="00A20075"/>
    <w:rPr>
      <w:b/>
      <w:bCs/>
      <w:smallCaps/>
      <w:color w:val="365F91" w:themeColor="accent1" w:themeShade="BF"/>
      <w:spacing w:val="5"/>
    </w:rPr>
  </w:style>
  <w:style w:type="paragraph" w:styleId="FootnoteText">
    <w:name w:val="footnote text"/>
    <w:basedOn w:val="Normal"/>
    <w:link w:val="FootnoteTextChar"/>
    <w:rsid w:val="00A20075"/>
    <w:rPr>
      <w:rFonts w:ascii="Calibri" w:hAnsi="Calibri"/>
      <w:sz w:val="20"/>
      <w:szCs w:val="20"/>
    </w:rPr>
  </w:style>
  <w:style w:type="character" w:customStyle="1" w:styleId="FootnoteTextChar">
    <w:name w:val="Footnote Text Char"/>
    <w:basedOn w:val="DefaultParagraphFont"/>
    <w:link w:val="FootnoteText"/>
    <w:rsid w:val="00A20075"/>
    <w:rPr>
      <w:rFonts w:ascii="Calibri" w:eastAsia="Times New Roman" w:hAnsi="Calibri" w:cs="Times New Roman"/>
      <w:kern w:val="0"/>
      <w:sz w:val="20"/>
      <w:szCs w:val="20"/>
      <w:lang w:eastAsia="en-GB"/>
      <w14:ligatures w14:val="none"/>
    </w:rPr>
  </w:style>
  <w:style w:type="character" w:styleId="FootnoteReference">
    <w:name w:val="footnote reference"/>
    <w:basedOn w:val="DefaultParagraphFont"/>
    <w:rsid w:val="00A20075"/>
    <w:rPr>
      <w:rFonts w:cs="Times New Roman"/>
      <w:vertAlign w:val="superscript"/>
    </w:rPr>
  </w:style>
  <w:style w:type="paragraph" w:styleId="Header">
    <w:name w:val="header"/>
    <w:basedOn w:val="Normal"/>
    <w:link w:val="HeaderChar"/>
    <w:uiPriority w:val="99"/>
    <w:rsid w:val="00A20075"/>
    <w:pPr>
      <w:tabs>
        <w:tab w:val="center" w:pos="4513"/>
        <w:tab w:val="right" w:pos="9026"/>
      </w:tabs>
    </w:pPr>
  </w:style>
  <w:style w:type="character" w:customStyle="1" w:styleId="HeaderChar">
    <w:name w:val="Header Char"/>
    <w:basedOn w:val="DefaultParagraphFont"/>
    <w:link w:val="Header"/>
    <w:uiPriority w:val="99"/>
    <w:rsid w:val="00A2007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A20075"/>
    <w:pPr>
      <w:tabs>
        <w:tab w:val="center" w:pos="4513"/>
        <w:tab w:val="right" w:pos="9026"/>
      </w:tabs>
    </w:pPr>
  </w:style>
  <w:style w:type="character" w:customStyle="1" w:styleId="FooterChar">
    <w:name w:val="Footer Char"/>
    <w:basedOn w:val="DefaultParagraphFont"/>
    <w:link w:val="Footer"/>
    <w:uiPriority w:val="99"/>
    <w:rsid w:val="00A20075"/>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20075"/>
    <w:rPr>
      <w:color w:val="0000FF" w:themeColor="hyperlink"/>
      <w:u w:val="single"/>
    </w:rPr>
  </w:style>
  <w:style w:type="character" w:styleId="PageNumber">
    <w:name w:val="page number"/>
    <w:basedOn w:val="DefaultParagraphFont"/>
    <w:uiPriority w:val="99"/>
    <w:rsid w:val="00A2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ssex.ac.uk/student/professional-services/student-wellbeing-and-inclusivity-team" TargetMode="External"/><Relationship Id="rId18" Type="http://schemas.openxmlformats.org/officeDocument/2006/relationships/hyperlink" Target="https://www.gov.uk/government/publications/prevent-duty-guidance" TargetMode="External"/><Relationship Id="rId26" Type="http://schemas.openxmlformats.org/officeDocument/2006/relationships/hyperlink" Target="mailto:libline@essex.ac.uk" TargetMode="External"/><Relationship Id="rId3" Type="http://schemas.openxmlformats.org/officeDocument/2006/relationships/settings" Target="settings.xml"/><Relationship Id="rId21" Type="http://schemas.openxmlformats.org/officeDocument/2006/relationships/hyperlink" Target="https://www.essex.ac.uk/student/professional-services/student-wellbeing-and-inclusivity-tea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ssex.ac.uk/visit-us/plan-your-visit/external-speakers" TargetMode="External"/><Relationship Id="rId25" Type="http://schemas.openxmlformats.org/officeDocument/2006/relationships/hyperlink" Target="https://www.essex.ac.uk/staff/safeguarding/safeguarding-policy-and-guidance" TargetMode="External"/><Relationship Id="rId2" Type="http://schemas.openxmlformats.org/officeDocument/2006/relationships/styles" Target="styles.xml"/><Relationship Id="rId16" Type="http://schemas.openxmlformats.org/officeDocument/2006/relationships/hyperlink" Target="https://www.google.co.uk/url?sa=t&amp;rct=j&amp;q=&amp;esrc=s&amp;source=web&amp;cd=&amp;ved=2ahUKEwiFk4i8iuX8AhWLh1wKHfL2AjEQFnoECA4QAQ&amp;url=https%3A%2F%2Fwww.essex.ac.uk%2F-%2Fmedia%2Fdocuments%2Fabout%2Fgovernance%2Fcop-freedom-of-speech.pdf&amp;usg=AOvVaw1kFi7g9I16Sn5vf9pqAI_D" TargetMode="External"/><Relationship Id="rId20" Type="http://schemas.openxmlformats.org/officeDocument/2006/relationships/hyperlink" Target="https://www.essex.ac.uk/stud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videostandards.org.uk/RatingBoard/ratings" TargetMode="External"/><Relationship Id="rId5" Type="http://schemas.openxmlformats.org/officeDocument/2006/relationships/footnotes" Target="footnotes.xml"/><Relationship Id="rId15" Type="http://schemas.openxmlformats.org/officeDocument/2006/relationships/hyperlink" Target="https://www.essex.ac.uk/staff/employment-policies-procedures/whistleblowing-policy" TargetMode="External"/><Relationship Id="rId23" Type="http://schemas.openxmlformats.org/officeDocument/2006/relationships/hyperlink" Target="https://www.bbfc.co.uk/about-classificatio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tudentminds.org.uk/uploads/3/7/8/4/3784584/191208_umhc_artwork.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ibline@essex.ac.uk" TargetMode="External"/><Relationship Id="rId22" Type="http://schemas.openxmlformats.org/officeDocument/2006/relationships/hyperlink" Target="https://www.essex.ac.uk/staff/safeguarding/safeguarding-policy-and-guidance" TargetMode="External"/><Relationship Id="rId27" Type="http://schemas.openxmlformats.org/officeDocument/2006/relationships/hyperlink" Target="https://news.uchicago.edu/sites/default/files/attachments/Dear_Class_of_2020_Student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ssex.ac.uk/student/professional-services/student-wellbeing-and-inclusivity-team" TargetMode="External"/><Relationship Id="rId3" Type="http://schemas.openxmlformats.org/officeDocument/2006/relationships/hyperlink" Target="https://www.cctl.cam.ac.uk/content-notes/how-use/when-use" TargetMode="External"/><Relationship Id="rId7" Type="http://schemas.openxmlformats.org/officeDocument/2006/relationships/hyperlink" Target="https://www.essex.ac.uk/student" TargetMode="External"/><Relationship Id="rId12" Type="http://schemas.openxmlformats.org/officeDocument/2006/relationships/hyperlink" Target="https://www.essex.ac.uk/staff/safeguarding/safeguarding-policy-and-guidance" TargetMode="External"/><Relationship Id="rId2" Type="http://schemas.openxmlformats.org/officeDocument/2006/relationships/hyperlink" Target="https://www.ptsduk.org/ptsd-stats/" TargetMode="External"/><Relationship Id="rId1" Type="http://schemas.openxmlformats.org/officeDocument/2006/relationships/hyperlink" Target="https://www.essex.ac.uk/student/professional-services/student-wellbeing-and-inclusivity-team" TargetMode="External"/><Relationship Id="rId6" Type="http://schemas.openxmlformats.org/officeDocument/2006/relationships/hyperlink" Target="https://www.gov.uk/government/publications/prevent-duty-guidance" TargetMode="External"/><Relationship Id="rId11" Type="http://schemas.openxmlformats.org/officeDocument/2006/relationships/hyperlink" Target="https://videostandards.org.uk/RatingBoard/ratings" TargetMode="External"/><Relationship Id="rId5" Type="http://schemas.openxmlformats.org/officeDocument/2006/relationships/hyperlink" Target="https://www.essex.ac.uk/visit-us/plan-your-visit/external-speakers" TargetMode="External"/><Relationship Id="rId10" Type="http://schemas.openxmlformats.org/officeDocument/2006/relationships/hyperlink" Target="https://www.bbfc.co.uk/about-classification" TargetMode="External"/><Relationship Id="rId4" Type="http://schemas.openxmlformats.org/officeDocument/2006/relationships/hyperlink" Target="https://www.essex.ac.uk/governance-and-strategy/governance/policies" TargetMode="External"/><Relationship Id="rId9" Type="http://schemas.openxmlformats.org/officeDocument/2006/relationships/hyperlink" Target="https://www.essex.ac.uk/staff/safeguarding/safeguarding-policy-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5082</Words>
  <Characters>28969</Characters>
  <Application>Microsoft Office Word</Application>
  <DocSecurity>0</DocSecurity>
  <Lines>241</Lines>
  <Paragraphs>67</Paragraphs>
  <ScaleCrop>false</ScaleCrop>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Lucy A</dc:creator>
  <cp:keywords/>
  <dc:description/>
  <cp:lastModifiedBy>Johnson, Lucy A</cp:lastModifiedBy>
  <cp:revision>1</cp:revision>
  <dcterms:created xsi:type="dcterms:W3CDTF">2025-12-11T15:57:00Z</dcterms:created>
  <dcterms:modified xsi:type="dcterms:W3CDTF">2025-12-11T15:58:00Z</dcterms:modified>
</cp:coreProperties>
</file>