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0365" w:rsidR="00686DD1" w:rsidP="00203F41" w:rsidRDefault="315E2F51" w14:paraId="42DB376F" w14:textId="5B45AFB5">
      <w:pPr>
        <w:pStyle w:val="Title"/>
      </w:pPr>
      <w:r w:rsidRPr="315E2F51">
        <w:t xml:space="preserve">University of Essex Speech and Language Therapy placement schedule 2022-23 for early years, </w:t>
      </w:r>
      <w:proofErr w:type="gramStart"/>
      <w:r w:rsidRPr="315E2F51">
        <w:t>education</w:t>
      </w:r>
      <w:proofErr w:type="gramEnd"/>
      <w:r w:rsidRPr="315E2F51">
        <w:t xml:space="preserve"> and adult care </w:t>
      </w:r>
      <w:r w:rsidRPr="00203F41">
        <w:t>settings</w:t>
      </w:r>
    </w:p>
    <w:p w:rsidR="009B2011" w:rsidP="006E60E8" w:rsidRDefault="315E2F51" w14:paraId="1E08C3C8" w14:textId="21C9BC17">
      <w:pPr>
        <w:pStyle w:val="ListParagraph"/>
        <w:ind w:left="0"/>
        <w:rPr>
          <w:rFonts w:ascii="Calibri" w:hAnsi="Calibri" w:cs="Calibri"/>
          <w:bCs/>
          <w:sz w:val="24"/>
          <w:szCs w:val="24"/>
        </w:rPr>
      </w:pPr>
      <w:r w:rsidRPr="315E2F51">
        <w:rPr>
          <w:rFonts w:ascii="Calibri" w:hAnsi="Calibri" w:cs="Calibri"/>
          <w:sz w:val="24"/>
          <w:szCs w:val="24"/>
        </w:rPr>
        <w:t xml:space="preserve">Pre-clinical placements are invaluable for helping students develop skills and knowledge they require as Speech and Language Therapists – confident and professional interactions with people of all ages; a good understanding of the education, health, and social care system; practice adapting their communication to suit a range of needs and abilities. </w:t>
      </w:r>
      <w:r w:rsidR="00203F41">
        <w:rPr>
          <w:rFonts w:ascii="Calibri" w:hAnsi="Calibri" w:cs="Calibri"/>
          <w:sz w:val="24"/>
          <w:szCs w:val="24"/>
        </w:rPr>
        <w:t>All our trainee Speech and Language Therapists</w:t>
      </w:r>
      <w:r w:rsidRPr="315E2F51">
        <w:rPr>
          <w:rFonts w:ascii="Calibri" w:hAnsi="Calibri" w:cs="Calibri"/>
          <w:sz w:val="24"/>
          <w:szCs w:val="24"/>
        </w:rPr>
        <w:t xml:space="preserve"> undertake pre-clinical placements in addition to their clinical placements</w:t>
      </w:r>
      <w:r w:rsidR="00203F41">
        <w:rPr>
          <w:rFonts w:ascii="Calibri" w:hAnsi="Calibri" w:cs="Calibri"/>
          <w:sz w:val="24"/>
          <w:szCs w:val="24"/>
        </w:rPr>
        <w:t xml:space="preserve">. </w:t>
      </w:r>
    </w:p>
    <w:p w:rsidRPr="002C03EA" w:rsidR="002C03EA" w:rsidP="006E60E8" w:rsidRDefault="002C03EA" w14:paraId="5761F25F" w14:textId="77777777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BD72A9" w:rsidP="008B3773" w:rsidRDefault="00BD72A9" w14:paraId="6248E51F" w14:textId="219F4F8B">
      <w:pPr>
        <w:pStyle w:val="Heading2"/>
      </w:pPr>
      <w:r>
        <w:t xml:space="preserve">MSc year </w:t>
      </w:r>
      <w:proofErr w:type="spellStart"/>
      <w:proofErr w:type="gramStart"/>
      <w:r w:rsidR="008B3773">
        <w:t>A</w:t>
      </w:r>
      <w:proofErr w:type="spellEnd"/>
      <w:proofErr w:type="gramEnd"/>
      <w:r>
        <w:t xml:space="preserve"> Education placement (HS831)</w:t>
      </w:r>
      <w:r w:rsidR="002C03EA">
        <w:t xml:space="preserve"> –</w:t>
      </w:r>
      <w:r w:rsidR="008B3773">
        <w:t xml:space="preserve"> </w:t>
      </w:r>
      <w:r w:rsidR="00262F0F">
        <w:t xml:space="preserve">Autumn </w:t>
      </w:r>
      <w:r w:rsidR="008B3773">
        <w:t>2023</w:t>
      </w:r>
    </w:p>
    <w:p w:rsidRPr="008B3773" w:rsidR="00BD72A9" w:rsidP="006E60E8" w:rsidRDefault="00203F41" w14:paraId="218ABA38" w14:textId="2AE36980">
      <w:pPr>
        <w:pStyle w:val="ListParagraph"/>
        <w:ind w:left="0"/>
        <w:rPr>
          <w:rFonts w:ascii="Calibri" w:hAnsi="Calibri" w:cs="Calibri"/>
          <w:b/>
          <w:bCs/>
          <w:sz w:val="24"/>
          <w:szCs w:val="24"/>
        </w:rPr>
      </w:pPr>
      <w:r w:rsidRPr="008B3773">
        <w:rPr>
          <w:rFonts w:ascii="Calibri" w:hAnsi="Calibri" w:cs="Calibri"/>
          <w:b/>
          <w:bCs/>
          <w:sz w:val="24"/>
          <w:szCs w:val="24"/>
        </w:rPr>
        <w:t>Dates: 21</w:t>
      </w:r>
      <w:r w:rsidRPr="008B3773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Pr="008B3773">
        <w:rPr>
          <w:rFonts w:ascii="Calibri" w:hAnsi="Calibri" w:cs="Calibri"/>
          <w:b/>
          <w:bCs/>
          <w:sz w:val="24"/>
          <w:szCs w:val="24"/>
        </w:rPr>
        <w:t>, 23</w:t>
      </w:r>
      <w:r w:rsidRPr="008B3773">
        <w:rPr>
          <w:rFonts w:ascii="Calibri" w:hAnsi="Calibri" w:cs="Calibri"/>
          <w:b/>
          <w:bCs/>
          <w:sz w:val="24"/>
          <w:szCs w:val="24"/>
          <w:vertAlign w:val="superscript"/>
        </w:rPr>
        <w:t>rd</w:t>
      </w:r>
      <w:r w:rsidRPr="008B3773">
        <w:rPr>
          <w:rFonts w:ascii="Calibri" w:hAnsi="Calibri" w:cs="Calibri"/>
          <w:b/>
          <w:bCs/>
          <w:sz w:val="24"/>
          <w:szCs w:val="24"/>
        </w:rPr>
        <w:t xml:space="preserve"> 24</w:t>
      </w:r>
      <w:r w:rsidRPr="008B3773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8B3773">
        <w:rPr>
          <w:rFonts w:ascii="Calibri" w:hAnsi="Calibri" w:cs="Calibri"/>
          <w:b/>
          <w:bCs/>
          <w:sz w:val="24"/>
          <w:szCs w:val="24"/>
        </w:rPr>
        <w:t>, 30</w:t>
      </w:r>
      <w:r w:rsidRPr="008B3773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8B3773">
        <w:rPr>
          <w:rFonts w:ascii="Calibri" w:hAnsi="Calibri" w:cs="Calibri"/>
          <w:b/>
          <w:bCs/>
          <w:sz w:val="24"/>
          <w:szCs w:val="24"/>
        </w:rPr>
        <w:t xml:space="preserve"> November and 1</w:t>
      </w:r>
      <w:r w:rsidRPr="008B3773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Pr="008B3773">
        <w:rPr>
          <w:rFonts w:ascii="Calibri" w:hAnsi="Calibri" w:cs="Calibri"/>
          <w:b/>
          <w:bCs/>
          <w:sz w:val="24"/>
          <w:szCs w:val="24"/>
        </w:rPr>
        <w:t>, 5</w:t>
      </w:r>
      <w:r w:rsidRPr="008B3773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8B3773">
        <w:rPr>
          <w:rFonts w:ascii="Calibri" w:hAnsi="Calibri" w:cs="Calibri"/>
          <w:b/>
          <w:bCs/>
          <w:sz w:val="24"/>
          <w:szCs w:val="24"/>
        </w:rPr>
        <w:t>, 7</w:t>
      </w:r>
      <w:r w:rsidRPr="008B3773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8B3773">
        <w:rPr>
          <w:rFonts w:ascii="Calibri" w:hAnsi="Calibri" w:cs="Calibri"/>
          <w:b/>
          <w:bCs/>
          <w:sz w:val="24"/>
          <w:szCs w:val="24"/>
        </w:rPr>
        <w:t>, 8</w:t>
      </w:r>
      <w:r w:rsidRPr="008B3773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8B3773">
        <w:rPr>
          <w:rFonts w:ascii="Calibri" w:hAnsi="Calibri" w:cs="Calibri"/>
          <w:b/>
          <w:bCs/>
          <w:sz w:val="24"/>
          <w:szCs w:val="24"/>
        </w:rPr>
        <w:t xml:space="preserve"> December 2023.</w:t>
      </w:r>
    </w:p>
    <w:p w:rsidR="00203F41" w:rsidP="00203F41" w:rsidRDefault="00203F41" w14:paraId="1C251521" w14:textId="01D9D931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315E2F51">
        <w:rPr>
          <w:rFonts w:ascii="Calibri" w:hAnsi="Calibri" w:cs="Calibri"/>
          <w:sz w:val="24"/>
          <w:szCs w:val="24"/>
        </w:rPr>
        <w:t xml:space="preserve">Students in the first year of the </w:t>
      </w:r>
      <w:r>
        <w:rPr>
          <w:rFonts w:ascii="Calibri" w:hAnsi="Calibri" w:cs="Calibri"/>
          <w:sz w:val="24"/>
          <w:szCs w:val="24"/>
        </w:rPr>
        <w:t>M</w:t>
      </w:r>
      <w:r w:rsidRPr="315E2F51">
        <w:rPr>
          <w:rFonts w:ascii="Calibri" w:hAnsi="Calibri" w:cs="Calibri"/>
          <w:sz w:val="24"/>
          <w:szCs w:val="24"/>
        </w:rPr>
        <w:t xml:space="preserve">Sc Speech and Language Therapy course undertake </w:t>
      </w:r>
      <w:r>
        <w:rPr>
          <w:rFonts w:ascii="Calibri" w:hAnsi="Calibri" w:cs="Calibri"/>
          <w:sz w:val="24"/>
          <w:szCs w:val="24"/>
        </w:rPr>
        <w:t xml:space="preserve">8 days in </w:t>
      </w:r>
      <w:r w:rsidRPr="008B3773">
        <w:rPr>
          <w:rFonts w:ascii="Calibri" w:hAnsi="Calibri" w:cs="Calibri"/>
          <w:i/>
          <w:iCs/>
          <w:sz w:val="24"/>
          <w:szCs w:val="24"/>
        </w:rPr>
        <w:t>early years</w:t>
      </w:r>
      <w:r w:rsidRPr="008B3773">
        <w:rPr>
          <w:rFonts w:ascii="Calibri" w:hAnsi="Calibri" w:cs="Calibri"/>
          <w:i/>
          <w:iCs/>
          <w:sz w:val="24"/>
          <w:szCs w:val="24"/>
        </w:rPr>
        <w:t xml:space="preserve"> or </w:t>
      </w:r>
      <w:r w:rsidRPr="008B3773">
        <w:rPr>
          <w:rFonts w:ascii="Calibri" w:hAnsi="Calibri" w:cs="Calibri"/>
          <w:i/>
          <w:iCs/>
          <w:sz w:val="24"/>
          <w:szCs w:val="24"/>
        </w:rPr>
        <w:t>primary</w:t>
      </w:r>
      <w:r w:rsidRPr="008B3773">
        <w:rPr>
          <w:rFonts w:ascii="Calibri" w:hAnsi="Calibri" w:cs="Calibri"/>
          <w:i/>
          <w:iCs/>
          <w:sz w:val="24"/>
          <w:szCs w:val="24"/>
        </w:rPr>
        <w:t xml:space="preserve"> school settings.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203F41" w:rsidP="00203F41" w:rsidRDefault="00203F41" w14:paraId="55A850F4" w14:textId="3294B9A8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315E2F51">
        <w:rPr>
          <w:rFonts w:ascii="Calibri" w:hAnsi="Calibri" w:cs="Calibri"/>
          <w:sz w:val="24"/>
          <w:szCs w:val="24"/>
        </w:rPr>
        <w:t>Students complete a week in each setting</w:t>
      </w:r>
      <w:r>
        <w:rPr>
          <w:rFonts w:ascii="Calibri" w:hAnsi="Calibri" w:cs="Calibri"/>
          <w:sz w:val="24"/>
          <w:szCs w:val="24"/>
        </w:rPr>
        <w:t xml:space="preserve"> and require a named facilitator to provide feedback via an assessment booklet. Students also complete a workbook of tasks which is assessed by the university. </w:t>
      </w:r>
    </w:p>
    <w:p w:rsidR="008B3773" w:rsidP="00203F41" w:rsidRDefault="008B3773" w14:paraId="0EA324A5" w14:textId="23C193C7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8B3773" w:rsidP="008B3773" w:rsidRDefault="008B3773" w14:paraId="544EF7DB" w14:textId="2573CF32">
      <w:pPr>
        <w:pStyle w:val="Heading2"/>
      </w:pPr>
      <w:r>
        <w:t>MSc Year B Communication Partner placement (HS837) – Autumn and Spring</w:t>
      </w:r>
    </w:p>
    <w:p w:rsidRPr="008B3773" w:rsidR="008B3773" w:rsidP="00203F41" w:rsidRDefault="008B3773" w14:paraId="152B3AE5" w14:textId="00F9D2D8">
      <w:pPr>
        <w:pStyle w:val="ListParagraph"/>
        <w:ind w:left="0"/>
        <w:rPr>
          <w:rFonts w:ascii="Calibri" w:hAnsi="Calibri" w:cs="Calibri"/>
          <w:b w:val="1"/>
          <w:bCs w:val="1"/>
          <w:sz w:val="24"/>
          <w:szCs w:val="24"/>
        </w:rPr>
      </w:pPr>
      <w:r w:rsidRPr="35D2C1DE" w:rsidR="35D2C1DE">
        <w:rPr>
          <w:rFonts w:ascii="Calibri" w:hAnsi="Calibri" w:cs="Calibri"/>
          <w:b w:val="1"/>
          <w:bCs w:val="1"/>
          <w:sz w:val="24"/>
          <w:szCs w:val="24"/>
        </w:rPr>
        <w:t>Autumn and Spring semesters (October 2023 – May 2024)</w:t>
      </w:r>
    </w:p>
    <w:p w:rsidR="008B3773" w:rsidP="00203F41" w:rsidRDefault="008B3773" w14:paraId="25892546" w14:textId="4CC2AC1F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Students in the second year of the MSc Speech and Language Therapy undertake approximately 10 sessions with adults with communication differences/difficulties. The placement days are usually once a week. This placement occurs alongside their teaching on acquired difficulties/disorders and supports the students’ understanding of the lived experience of communication difficulties. </w:t>
      </w:r>
    </w:p>
    <w:p w:rsidR="008B3773" w:rsidP="00203F41" w:rsidRDefault="008B3773" w14:paraId="00595030" w14:textId="5D1A8F1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Settings have included the Aphasia </w:t>
      </w:r>
      <w:proofErr w:type="spellStart"/>
      <w:r>
        <w:rPr>
          <w:rFonts w:ascii="Calibri" w:hAnsi="Calibri" w:cs="Calibri"/>
          <w:sz w:val="24"/>
          <w:szCs w:val="24"/>
        </w:rPr>
        <w:t>iCafe</w:t>
      </w:r>
      <w:proofErr w:type="spellEnd"/>
      <w:r>
        <w:rPr>
          <w:rFonts w:ascii="Calibri" w:hAnsi="Calibri" w:cs="Calibri"/>
          <w:sz w:val="24"/>
          <w:szCs w:val="24"/>
        </w:rPr>
        <w:t xml:space="preserve"> online, care/residential/nursing homes, day centres for older adults and people with learning or physical disabilities, online 1:1 communication </w:t>
      </w:r>
      <w:proofErr w:type="gramStart"/>
      <w:r>
        <w:rPr>
          <w:rFonts w:ascii="Calibri" w:hAnsi="Calibri" w:cs="Calibri"/>
          <w:sz w:val="24"/>
          <w:szCs w:val="24"/>
        </w:rPr>
        <w:t>partners</w:t>
      </w:r>
      <w:proofErr w:type="gramEnd"/>
      <w:r>
        <w:rPr>
          <w:rFonts w:ascii="Calibri" w:hAnsi="Calibri" w:cs="Calibri"/>
          <w:sz w:val="24"/>
          <w:szCs w:val="24"/>
        </w:rPr>
        <w:t xml:space="preserve">, and local communication and social groups for people who have experienced stroke, stammering, or progressive neurological conditions which affect their communication such as </w:t>
      </w:r>
      <w:proofErr w:type="spellStart"/>
      <w:r>
        <w:rPr>
          <w:rFonts w:ascii="Calibri" w:hAnsi="Calibri" w:cs="Calibri"/>
          <w:sz w:val="24"/>
          <w:szCs w:val="24"/>
        </w:rPr>
        <w:t>Parkinsons</w:t>
      </w:r>
      <w:proofErr w:type="spellEnd"/>
      <w:r>
        <w:rPr>
          <w:rFonts w:ascii="Calibri" w:hAnsi="Calibri" w:cs="Calibri"/>
          <w:sz w:val="24"/>
          <w:szCs w:val="24"/>
        </w:rPr>
        <w:t xml:space="preserve"> and Multiple </w:t>
      </w:r>
      <w:proofErr w:type="spellStart"/>
      <w:r>
        <w:rPr>
          <w:rFonts w:ascii="Calibri" w:hAnsi="Calibri" w:cs="Calibri"/>
          <w:sz w:val="24"/>
          <w:szCs w:val="24"/>
        </w:rPr>
        <w:t>Schlerosis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8B3773" w:rsidP="00203F41" w:rsidRDefault="008B3773" w14:paraId="5EF086D3" w14:textId="77777777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BD72A9" w:rsidP="008B3773" w:rsidRDefault="006E60E8" w14:paraId="09734248" w14:textId="2F037463">
      <w:pPr>
        <w:pStyle w:val="Heading2"/>
      </w:pPr>
      <w:r>
        <w:t>BSc y</w:t>
      </w:r>
      <w:r w:rsidR="00BD72A9">
        <w:t>ear 1 Rotational placement (HS136)</w:t>
      </w:r>
      <w:r w:rsidR="00262F0F">
        <w:t xml:space="preserve"> </w:t>
      </w:r>
      <w:r w:rsidR="008B3773">
        <w:t>–</w:t>
      </w:r>
      <w:r w:rsidR="00262F0F">
        <w:t xml:space="preserve"> Spring</w:t>
      </w:r>
      <w:r w:rsidR="008B3773">
        <w:t xml:space="preserve"> 2024</w:t>
      </w:r>
    </w:p>
    <w:p w:rsidR="00203F41" w:rsidP="006E60E8" w:rsidRDefault="315E2F51" w14:paraId="4524DA53" w14:textId="77777777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315E2F51">
        <w:rPr>
          <w:rFonts w:ascii="Calibri" w:hAnsi="Calibri" w:cs="Calibri"/>
          <w:sz w:val="24"/>
          <w:szCs w:val="24"/>
        </w:rPr>
        <w:t>Students in the first year of the BSc Speech and Language Therapy course at the University of Essex undertake a rotational placement across three settings:</w:t>
      </w:r>
      <w:r w:rsidR="00203F41">
        <w:rPr>
          <w:rFonts w:ascii="Calibri" w:hAnsi="Calibri" w:cs="Calibri"/>
          <w:sz w:val="24"/>
          <w:szCs w:val="24"/>
        </w:rPr>
        <w:t xml:space="preserve"> </w:t>
      </w:r>
      <w:r w:rsidRPr="008B3773" w:rsidR="00203F41">
        <w:rPr>
          <w:rFonts w:ascii="Calibri" w:hAnsi="Calibri" w:cs="Calibri"/>
          <w:i/>
          <w:iCs/>
          <w:sz w:val="24"/>
          <w:szCs w:val="24"/>
        </w:rPr>
        <w:t>e</w:t>
      </w:r>
      <w:r w:rsidRPr="008B3773">
        <w:rPr>
          <w:rFonts w:ascii="Calibri" w:hAnsi="Calibri" w:cs="Calibri"/>
          <w:i/>
          <w:iCs/>
          <w:sz w:val="24"/>
          <w:szCs w:val="24"/>
        </w:rPr>
        <w:t>arly years/primary</w:t>
      </w:r>
      <w:r w:rsidRPr="008B3773" w:rsidR="00203F41">
        <w:rPr>
          <w:rFonts w:ascii="Calibri" w:hAnsi="Calibri" w:cs="Calibri"/>
          <w:i/>
          <w:iCs/>
          <w:sz w:val="24"/>
          <w:szCs w:val="24"/>
        </w:rPr>
        <w:t>; s</w:t>
      </w:r>
      <w:r w:rsidRPr="008B3773">
        <w:rPr>
          <w:rFonts w:ascii="Calibri" w:hAnsi="Calibri" w:cs="Calibri"/>
          <w:i/>
          <w:iCs/>
          <w:sz w:val="24"/>
          <w:szCs w:val="24"/>
        </w:rPr>
        <w:t>econdary age/</w:t>
      </w:r>
      <w:r w:rsidRPr="008B3773" w:rsidR="00203F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B3773">
        <w:rPr>
          <w:rFonts w:ascii="Calibri" w:hAnsi="Calibri" w:cs="Calibri"/>
          <w:i/>
          <w:iCs/>
          <w:sz w:val="24"/>
          <w:szCs w:val="24"/>
        </w:rPr>
        <w:t>young adults</w:t>
      </w:r>
      <w:r w:rsidRPr="008B3773" w:rsidR="00203F41">
        <w:rPr>
          <w:rFonts w:ascii="Calibri" w:hAnsi="Calibri" w:cs="Calibri"/>
          <w:i/>
          <w:iCs/>
          <w:sz w:val="24"/>
          <w:szCs w:val="24"/>
        </w:rPr>
        <w:t>; a</w:t>
      </w:r>
      <w:r w:rsidRPr="008B3773">
        <w:rPr>
          <w:rFonts w:ascii="Calibri" w:hAnsi="Calibri" w:cs="Calibri"/>
          <w:i/>
          <w:iCs/>
          <w:sz w:val="24"/>
          <w:szCs w:val="24"/>
        </w:rPr>
        <w:t>dult care/residential/</w:t>
      </w:r>
      <w:r w:rsidRPr="008B3773" w:rsidR="00203F41">
        <w:rPr>
          <w:rFonts w:ascii="Calibri" w:hAnsi="Calibri" w:cs="Calibri"/>
          <w:i/>
          <w:iCs/>
          <w:sz w:val="24"/>
          <w:szCs w:val="24"/>
        </w:rPr>
        <w:t>day centre/</w:t>
      </w:r>
      <w:r w:rsidRPr="008B3773">
        <w:rPr>
          <w:rFonts w:ascii="Calibri" w:hAnsi="Calibri" w:cs="Calibri"/>
          <w:i/>
          <w:iCs/>
          <w:sz w:val="24"/>
          <w:szCs w:val="24"/>
        </w:rPr>
        <w:t>nursing home settings.</w:t>
      </w:r>
    </w:p>
    <w:p w:rsidR="00203F41" w:rsidP="006E60E8" w:rsidRDefault="315E2F51" w14:paraId="5C35916F" w14:textId="59A087E4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315E2F51">
        <w:rPr>
          <w:rFonts w:ascii="Calibri" w:hAnsi="Calibri" w:cs="Calibri"/>
          <w:sz w:val="24"/>
          <w:szCs w:val="24"/>
        </w:rPr>
        <w:lastRenderedPageBreak/>
        <w:t>Students complete a week in each setting</w:t>
      </w:r>
      <w:r w:rsidR="00203F41">
        <w:rPr>
          <w:rFonts w:ascii="Calibri" w:hAnsi="Calibri" w:cs="Calibri"/>
          <w:sz w:val="24"/>
          <w:szCs w:val="24"/>
        </w:rPr>
        <w:t xml:space="preserve"> and require a named facilitator to provide feedback via an assessment booklet. Students also complete a workbook of tasks which is assessed by the university. </w:t>
      </w:r>
    </w:p>
    <w:p w:rsidR="00BD72A9" w:rsidP="006E60E8" w:rsidRDefault="315E2F51" w14:paraId="21D858D8" w14:textId="0E4002F1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315E2F51">
        <w:rPr>
          <w:rFonts w:ascii="Calibri" w:hAnsi="Calibri" w:cs="Calibri"/>
          <w:sz w:val="24"/>
          <w:szCs w:val="24"/>
        </w:rPr>
        <w:t xml:space="preserve">You do not have to offer for every </w:t>
      </w:r>
      <w:r w:rsidR="00203F41">
        <w:rPr>
          <w:rFonts w:ascii="Calibri" w:hAnsi="Calibri" w:cs="Calibri"/>
          <w:sz w:val="24"/>
          <w:szCs w:val="24"/>
        </w:rPr>
        <w:t>rotation – all offers are welcomed.</w:t>
      </w:r>
    </w:p>
    <w:p w:rsidR="009B2011" w:rsidP="006E60E8" w:rsidRDefault="009B2011" w14:paraId="266CC77F" w14:textId="77777777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showing dates, settings and groups in a rotation pattern"/>
        <w:tblDescription w:val="The left hand column shows the dates of the placement. The next column is titled 'Education setting - primary or nursery' and shows Group 1, then 2, then 3 will visit this setting in order. The third column is titlted 'Education setting - secondary' and shows that Group 2, 3 then 1 will visit this setting. The last column is titlted 'Residential/nursing/care setting' and shows Group 3, 1, then 2 will visit this setting."/>
      </w:tblPr>
      <w:tblGrid>
        <w:gridCol w:w="2376"/>
        <w:gridCol w:w="3431"/>
      </w:tblGrid>
      <w:tr w:rsidR="00203F41" w:rsidTr="00203F41" w14:paraId="0204EBA6" w14:textId="77777777">
        <w:trPr>
          <w:tblHeader/>
        </w:trPr>
        <w:tc>
          <w:tcPr>
            <w:tcW w:w="2376" w:type="dxa"/>
          </w:tcPr>
          <w:p w:rsidRPr="008B3773" w:rsidR="00203F41" w:rsidP="006E60E8" w:rsidRDefault="00203F41" w14:paraId="3ABCDCEA" w14:textId="1C2E9193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B3773">
              <w:rPr>
                <w:rFonts w:ascii="Calibri" w:hAnsi="Calibri" w:cs="Calibri"/>
                <w:b/>
                <w:bCs/>
                <w:sz w:val="24"/>
                <w:szCs w:val="24"/>
              </w:rPr>
              <w:t>Rotation</w:t>
            </w:r>
          </w:p>
        </w:tc>
        <w:tc>
          <w:tcPr>
            <w:tcW w:w="3431" w:type="dxa"/>
          </w:tcPr>
          <w:p w:rsidRPr="008B3773" w:rsidR="00203F41" w:rsidP="006E60E8" w:rsidRDefault="00203F41" w14:paraId="449B243B" w14:textId="694AB2FA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B3773">
              <w:rPr>
                <w:rFonts w:ascii="Calibri" w:hAnsi="Calibri" w:cs="Calibri"/>
                <w:b/>
                <w:bCs/>
                <w:sz w:val="24"/>
                <w:szCs w:val="24"/>
              </w:rPr>
              <w:t>Dates</w:t>
            </w:r>
          </w:p>
        </w:tc>
      </w:tr>
      <w:tr w:rsidR="00203F41" w:rsidTr="00203F41" w14:paraId="325BEDC9" w14:textId="77777777">
        <w:tc>
          <w:tcPr>
            <w:tcW w:w="2376" w:type="dxa"/>
          </w:tcPr>
          <w:p w:rsidR="00203F41" w:rsidP="00203F41" w:rsidRDefault="00203F41" w14:paraId="48091FE2" w14:textId="4193779D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203F41" w:rsidP="00203F41" w:rsidRDefault="00203F41" w14:paraId="11D0FD20" w14:textId="228EA37C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03F41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16</w:t>
            </w:r>
            <w:r w:rsidRPr="00203F41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February 2024</w:t>
            </w:r>
          </w:p>
        </w:tc>
      </w:tr>
      <w:tr w:rsidR="00203F41" w:rsidTr="00203F41" w14:paraId="0015437B" w14:textId="77777777">
        <w:tc>
          <w:tcPr>
            <w:tcW w:w="2376" w:type="dxa"/>
          </w:tcPr>
          <w:p w:rsidR="00203F41" w:rsidP="00203F41" w:rsidRDefault="00203F41" w14:paraId="58EF23BC" w14:textId="51609940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203F41" w:rsidP="00203F41" w:rsidRDefault="00203F41" w14:paraId="0BBE1156" w14:textId="226ED6D8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  <w:r w:rsidRPr="00203F41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February – 1</w:t>
            </w:r>
            <w:r w:rsidRPr="00203F41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March 2024</w:t>
            </w:r>
          </w:p>
        </w:tc>
      </w:tr>
      <w:tr w:rsidR="00203F41" w:rsidTr="00203F41" w14:paraId="19F446A9" w14:textId="77777777">
        <w:tc>
          <w:tcPr>
            <w:tcW w:w="2376" w:type="dxa"/>
          </w:tcPr>
          <w:p w:rsidR="00203F41" w:rsidP="00203F41" w:rsidRDefault="00203F41" w14:paraId="1050D88B" w14:textId="01E41694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203F41" w:rsidP="00203F41" w:rsidRDefault="00203F41" w14:paraId="4ACA83CC" w14:textId="0817A3F0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  <w:r w:rsidRPr="00203F41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15</w:t>
            </w:r>
            <w:r w:rsidRPr="00203F41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March 2024</w:t>
            </w:r>
          </w:p>
        </w:tc>
      </w:tr>
    </w:tbl>
    <w:p w:rsidR="009B2011" w:rsidP="002C03EA" w:rsidRDefault="009B2011" w14:paraId="434188E1" w14:textId="27730021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03F41" w:rsidP="008B3773" w:rsidRDefault="00203F41" w14:paraId="01D8B0C8" w14:textId="0AF44FA8">
      <w:pPr>
        <w:pStyle w:val="Heading2"/>
      </w:pPr>
      <w:r>
        <w:t>Speech and Language Therapy Apprenticeship</w:t>
      </w:r>
      <w:r w:rsidR="008B3773">
        <w:t xml:space="preserve"> (HS235)</w:t>
      </w:r>
      <w:r>
        <w:t xml:space="preserve"> </w:t>
      </w:r>
      <w:r w:rsidR="008B3773">
        <w:t>– Spring 2024</w:t>
      </w:r>
    </w:p>
    <w:p w:rsidRPr="008B3773" w:rsidR="00203F41" w:rsidP="002C03EA" w:rsidRDefault="00203F41" w14:paraId="0360399C" w14:textId="701454E8">
      <w:pPr>
        <w:pStyle w:val="ListParagraph"/>
        <w:ind w:left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Our Apprentices undertake a pre-clinical placement in their second year</w:t>
      </w:r>
      <w:r w:rsidR="008B3773">
        <w:rPr>
          <w:rFonts w:ascii="Calibri" w:hAnsi="Calibri" w:cs="Calibri"/>
          <w:sz w:val="24"/>
          <w:szCs w:val="24"/>
        </w:rPr>
        <w:t xml:space="preserve"> that is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similar to</w:t>
      </w:r>
      <w:proofErr w:type="gramEnd"/>
      <w:r>
        <w:rPr>
          <w:rFonts w:ascii="Calibri" w:hAnsi="Calibri" w:cs="Calibri"/>
          <w:sz w:val="24"/>
          <w:szCs w:val="24"/>
        </w:rPr>
        <w:t xml:space="preserve"> the BSc year 1 students but comprising only</w:t>
      </w:r>
      <w:r w:rsidR="008B3773">
        <w:rPr>
          <w:rFonts w:ascii="Calibri" w:hAnsi="Calibri" w:cs="Calibri"/>
          <w:sz w:val="24"/>
          <w:szCs w:val="24"/>
        </w:rPr>
        <w:t xml:space="preserve"> </w:t>
      </w:r>
      <w:r w:rsidRPr="008B3773">
        <w:rPr>
          <w:rFonts w:ascii="Calibri" w:hAnsi="Calibri" w:cs="Calibri"/>
          <w:sz w:val="24"/>
          <w:szCs w:val="24"/>
          <w:u w:val="single"/>
        </w:rPr>
        <w:t>two</w:t>
      </w:r>
      <w:r>
        <w:rPr>
          <w:rFonts w:ascii="Calibri" w:hAnsi="Calibri" w:cs="Calibri"/>
          <w:sz w:val="24"/>
          <w:szCs w:val="24"/>
        </w:rPr>
        <w:t xml:space="preserve"> rotations</w:t>
      </w:r>
      <w:r w:rsidR="008B3773">
        <w:rPr>
          <w:rFonts w:ascii="Calibri" w:hAnsi="Calibri" w:cs="Calibri"/>
          <w:sz w:val="24"/>
          <w:szCs w:val="24"/>
        </w:rPr>
        <w:t xml:space="preserve"> – </w:t>
      </w:r>
      <w:r w:rsidRPr="008B3773" w:rsidR="008B3773">
        <w:rPr>
          <w:rFonts w:ascii="Calibri" w:hAnsi="Calibri" w:cs="Calibri"/>
          <w:sz w:val="24"/>
          <w:szCs w:val="24"/>
        </w:rPr>
        <w:t>one in</w:t>
      </w:r>
      <w:r w:rsidRPr="008B3773" w:rsidR="008B3773">
        <w:rPr>
          <w:rFonts w:ascii="Calibri" w:hAnsi="Calibri" w:cs="Calibri"/>
          <w:i/>
          <w:iCs/>
          <w:sz w:val="24"/>
          <w:szCs w:val="24"/>
        </w:rPr>
        <w:t xml:space="preserve"> early years/primary/secondary schools </w:t>
      </w:r>
      <w:r w:rsidRPr="008B3773" w:rsidR="008B3773">
        <w:rPr>
          <w:rFonts w:ascii="Calibri" w:hAnsi="Calibri" w:cs="Calibri"/>
          <w:sz w:val="24"/>
          <w:szCs w:val="24"/>
        </w:rPr>
        <w:t>and one in</w:t>
      </w:r>
      <w:r w:rsidRPr="008B3773" w:rsidR="008B3773">
        <w:rPr>
          <w:rFonts w:ascii="Calibri" w:hAnsi="Calibri" w:cs="Calibri"/>
          <w:i/>
          <w:iCs/>
          <w:sz w:val="24"/>
          <w:szCs w:val="24"/>
        </w:rPr>
        <w:t xml:space="preserve"> adult residential/nursing/day centre/care</w:t>
      </w:r>
      <w:r w:rsidRPr="008B3773">
        <w:rPr>
          <w:rFonts w:ascii="Calibri" w:hAnsi="Calibri" w:cs="Calibri"/>
          <w:i/>
          <w:iCs/>
          <w:sz w:val="24"/>
          <w:szCs w:val="24"/>
        </w:rPr>
        <w:t>.</w:t>
      </w:r>
    </w:p>
    <w:p w:rsidRPr="00203F41" w:rsidR="00203F41" w:rsidP="002C03EA" w:rsidRDefault="00203F41" w14:paraId="76788177" w14:textId="754CBAE4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8B3773">
        <w:rPr>
          <w:rFonts w:ascii="Calibri" w:hAnsi="Calibri" w:cs="Calibri"/>
          <w:sz w:val="24"/>
          <w:szCs w:val="24"/>
          <w:highlight w:val="yellow"/>
        </w:rPr>
        <w:t>Dates: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8B3773" w:rsidP="008B3773" w:rsidRDefault="008B3773" w14:paraId="747CEF75" w14:textId="77777777">
      <w:pPr>
        <w:pStyle w:val="Heading3"/>
        <w:rPr>
          <w:rStyle w:val="normaltextrun"/>
          <w:sz w:val="28"/>
          <w:szCs w:val="28"/>
        </w:rPr>
      </w:pPr>
    </w:p>
    <w:p w:rsidRPr="008B3773" w:rsidR="00203F41" w:rsidP="008B3773" w:rsidRDefault="00203F41" w14:paraId="6255D7BD" w14:textId="1E606E87">
      <w:pPr>
        <w:pStyle w:val="Heading3"/>
        <w:rPr>
          <w:rStyle w:val="normaltextrun"/>
          <w:sz w:val="28"/>
          <w:szCs w:val="28"/>
        </w:rPr>
      </w:pPr>
      <w:r w:rsidRPr="008B3773">
        <w:rPr>
          <w:rStyle w:val="normaltextrun"/>
          <w:sz w:val="28"/>
          <w:szCs w:val="28"/>
        </w:rPr>
        <w:t>Practice facilitator training</w:t>
      </w:r>
    </w:p>
    <w:p w:rsidR="00203F41" w:rsidP="00BF3481" w:rsidRDefault="00203F41" w14:paraId="6930696C" w14:textId="4CEA6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All practice facilitators must access our training prior to hosting students. This is a professional and regulatory body requirement that helps ensure the quality of placements and the experience for both students and</w:t>
      </w:r>
      <w:r w:rsidR="008B3773">
        <w:rPr>
          <w:rStyle w:val="normaltextrun"/>
          <w:rFonts w:ascii="Calibri" w:hAnsi="Calibri" w:cs="Segoe UI"/>
        </w:rPr>
        <w:t xml:space="preserve"> placement facilitators.</w:t>
      </w:r>
      <w:r>
        <w:rPr>
          <w:rStyle w:val="normaltextrun"/>
          <w:rFonts w:ascii="Calibri" w:hAnsi="Calibri" w:cs="Segoe UI"/>
        </w:rPr>
        <w:t xml:space="preserve"> </w:t>
      </w:r>
      <w:proofErr w:type="gramStart"/>
      <w:r>
        <w:rPr>
          <w:rStyle w:val="normaltextrun"/>
          <w:rFonts w:ascii="Calibri" w:hAnsi="Calibri" w:cs="Segoe UI"/>
        </w:rPr>
        <w:t>However</w:t>
      </w:r>
      <w:proofErr w:type="gramEnd"/>
      <w:r>
        <w:rPr>
          <w:rStyle w:val="normaltextrun"/>
          <w:rFonts w:ascii="Calibri" w:hAnsi="Calibri" w:cs="Segoe UI"/>
        </w:rPr>
        <w:t xml:space="preserve"> we are currently </w:t>
      </w:r>
      <w:r w:rsidR="008B3773">
        <w:rPr>
          <w:rStyle w:val="normaltextrun"/>
          <w:rFonts w:ascii="Calibri" w:hAnsi="Calibri" w:cs="Segoe UI"/>
        </w:rPr>
        <w:t>updating</w:t>
      </w:r>
      <w:r>
        <w:rPr>
          <w:rStyle w:val="normaltextrun"/>
          <w:rFonts w:ascii="Calibri" w:hAnsi="Calibri" w:cs="Segoe UI"/>
        </w:rPr>
        <w:t xml:space="preserve"> how we offer training and at present have several options, including Zoom, face to face visits to larger settings, and pre-recorded videos and webinars. </w:t>
      </w:r>
    </w:p>
    <w:p w:rsidR="00203F41" w:rsidP="00BF3481" w:rsidRDefault="00203F41" w14:paraId="1522A407" w14:textId="098211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Please indicate at the point of offering placements whether you have undertaken </w:t>
      </w:r>
      <w:r w:rsidR="008B3773">
        <w:rPr>
          <w:rStyle w:val="normaltextrun"/>
          <w:rFonts w:ascii="Calibri" w:hAnsi="Calibri" w:cs="Segoe UI"/>
        </w:rPr>
        <w:t>our training.</w:t>
      </w:r>
    </w:p>
    <w:p w:rsidR="00203F41" w:rsidP="00BF3481" w:rsidRDefault="00203F41" w14:paraId="496F899E" w14:textId="086E07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We welcome ideas for how best to support you in hosting University of Essex students. </w:t>
      </w:r>
    </w:p>
    <w:p w:rsidR="008B3773" w:rsidP="00BF3481" w:rsidRDefault="008B3773" w14:paraId="00117649" w14:textId="38F38B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</w:p>
    <w:p w:rsidRPr="008B3773" w:rsidR="008B3773" w:rsidP="008B3773" w:rsidRDefault="008B3773" w14:paraId="16D4F230" w14:textId="77777777">
      <w:pPr>
        <w:pStyle w:val="Heading3"/>
        <w:rPr>
          <w:sz w:val="28"/>
          <w:szCs w:val="28"/>
        </w:rPr>
      </w:pPr>
      <w:r w:rsidRPr="008B3773">
        <w:rPr>
          <w:sz w:val="28"/>
          <w:szCs w:val="28"/>
        </w:rPr>
        <w:t>New placement ideas</w:t>
      </w:r>
    </w:p>
    <w:p w:rsidR="008B3773" w:rsidP="008B3773" w:rsidRDefault="008B3773" w14:paraId="025BD10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Do you have an idea for how trainee Speech and Language Therapists could be effective in your setting, even if you do not currently have a regular Speech and Language Therapist visiting? Email us to discuss: </w:t>
      </w:r>
      <w:hyperlink w:history="1" r:id="rId7">
        <w:r w:rsidRPr="00477018">
          <w:rPr>
            <w:rStyle w:val="Hyperlink"/>
            <w:rFonts w:ascii="Calibri" w:hAnsi="Calibri" w:cs="Segoe UI"/>
          </w:rPr>
          <w:t>sltplace@essex.ac.uk</w:t>
        </w:r>
      </w:hyperlink>
      <w:r>
        <w:rPr>
          <w:rStyle w:val="normaltextrun"/>
          <w:rFonts w:ascii="Calibri" w:hAnsi="Calibri" w:cs="Segoe UI"/>
        </w:rPr>
        <w:t xml:space="preserve"> .</w:t>
      </w:r>
    </w:p>
    <w:p w:rsidRPr="00060C05" w:rsidR="008B3773" w:rsidP="00BF3481" w:rsidRDefault="008B3773" w14:paraId="724D341B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Pr="00BF3481" w:rsidR="00BF3481" w:rsidP="00BF3481" w:rsidRDefault="00BF3481" w14:paraId="23837062" w14:textId="77777777"/>
    <w:sectPr w:rsidRPr="00BF3481" w:rsidR="00BF3481" w:rsidSect="008B3773">
      <w:footerReference w:type="default" r:id="rId8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3E3" w:rsidP="002F41E9" w:rsidRDefault="000A73E3" w14:paraId="5ADC5579" w14:textId="77777777">
      <w:pPr>
        <w:spacing w:after="0" w:line="240" w:lineRule="auto"/>
      </w:pPr>
      <w:r>
        <w:separator/>
      </w:r>
    </w:p>
  </w:endnote>
  <w:endnote w:type="continuationSeparator" w:id="0">
    <w:p w:rsidR="000A73E3" w:rsidP="002F41E9" w:rsidRDefault="000A73E3" w14:paraId="7BCA4B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81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F41E9" w:rsidRDefault="002F41E9" w14:paraId="76C5C567" w14:textId="6C2740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3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3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41E9" w:rsidRDefault="002F41E9" w14:paraId="79680B0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3E3" w:rsidP="002F41E9" w:rsidRDefault="000A73E3" w14:paraId="116DD9D0" w14:textId="77777777">
      <w:pPr>
        <w:spacing w:after="0" w:line="240" w:lineRule="auto"/>
      </w:pPr>
      <w:r>
        <w:separator/>
      </w:r>
    </w:p>
  </w:footnote>
  <w:footnote w:type="continuationSeparator" w:id="0">
    <w:p w:rsidR="000A73E3" w:rsidP="002F41E9" w:rsidRDefault="000A73E3" w14:paraId="2CDD31A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949"/>
    <w:multiLevelType w:val="hybridMultilevel"/>
    <w:tmpl w:val="CD640768"/>
    <w:lvl w:ilvl="0" w:tplc="46A47AC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21DE2"/>
    <w:multiLevelType w:val="hybridMultilevel"/>
    <w:tmpl w:val="EAA4514E"/>
    <w:lvl w:ilvl="0" w:tplc="B8F04CF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5319"/>
    <w:multiLevelType w:val="hybridMultilevel"/>
    <w:tmpl w:val="4270509C"/>
    <w:lvl w:ilvl="0" w:tplc="54FCA5C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12213"/>
    <w:multiLevelType w:val="hybridMultilevel"/>
    <w:tmpl w:val="DA94EC7C"/>
    <w:lvl w:ilvl="0" w:tplc="EFFC5F1A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2B2833"/>
    <w:multiLevelType w:val="hybridMultilevel"/>
    <w:tmpl w:val="ED7EC12A"/>
    <w:lvl w:ilvl="0" w:tplc="FA9E14B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4781">
    <w:abstractNumId w:val="3"/>
  </w:num>
  <w:num w:numId="2" w16cid:durableId="1960257803">
    <w:abstractNumId w:val="0"/>
  </w:num>
  <w:num w:numId="3" w16cid:durableId="1371564184">
    <w:abstractNumId w:val="4"/>
  </w:num>
  <w:num w:numId="4" w16cid:durableId="1403453951">
    <w:abstractNumId w:val="1"/>
  </w:num>
  <w:num w:numId="5" w16cid:durableId="975839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0D"/>
    <w:rsid w:val="0003744C"/>
    <w:rsid w:val="00051B76"/>
    <w:rsid w:val="00056FFA"/>
    <w:rsid w:val="00060C05"/>
    <w:rsid w:val="00065E31"/>
    <w:rsid w:val="00070CF2"/>
    <w:rsid w:val="00075A0C"/>
    <w:rsid w:val="000A73E3"/>
    <w:rsid w:val="000B2441"/>
    <w:rsid w:val="00136716"/>
    <w:rsid w:val="001A039B"/>
    <w:rsid w:val="001E4FD3"/>
    <w:rsid w:val="00203F41"/>
    <w:rsid w:val="00206AB2"/>
    <w:rsid w:val="0025329F"/>
    <w:rsid w:val="00262F0F"/>
    <w:rsid w:val="00280C2B"/>
    <w:rsid w:val="002963C4"/>
    <w:rsid w:val="002C03EA"/>
    <w:rsid w:val="002C4E35"/>
    <w:rsid w:val="002F41E9"/>
    <w:rsid w:val="003128B9"/>
    <w:rsid w:val="00341C11"/>
    <w:rsid w:val="003909A1"/>
    <w:rsid w:val="003970C3"/>
    <w:rsid w:val="003A160F"/>
    <w:rsid w:val="003C0B22"/>
    <w:rsid w:val="003E52A8"/>
    <w:rsid w:val="00444008"/>
    <w:rsid w:val="00444D7C"/>
    <w:rsid w:val="00447290"/>
    <w:rsid w:val="00475938"/>
    <w:rsid w:val="004A1F2D"/>
    <w:rsid w:val="004A438B"/>
    <w:rsid w:val="004C3BD3"/>
    <w:rsid w:val="004E7F63"/>
    <w:rsid w:val="004F65E0"/>
    <w:rsid w:val="00514636"/>
    <w:rsid w:val="00515328"/>
    <w:rsid w:val="005916F8"/>
    <w:rsid w:val="005C6504"/>
    <w:rsid w:val="005D330B"/>
    <w:rsid w:val="005E1E31"/>
    <w:rsid w:val="005F5156"/>
    <w:rsid w:val="00620448"/>
    <w:rsid w:val="00683EEC"/>
    <w:rsid w:val="00686DD1"/>
    <w:rsid w:val="0069154C"/>
    <w:rsid w:val="006A63EC"/>
    <w:rsid w:val="006E5FC9"/>
    <w:rsid w:val="006E60E8"/>
    <w:rsid w:val="006E7A36"/>
    <w:rsid w:val="00702481"/>
    <w:rsid w:val="00745A73"/>
    <w:rsid w:val="00765885"/>
    <w:rsid w:val="007D49FE"/>
    <w:rsid w:val="007E4C7C"/>
    <w:rsid w:val="007F516E"/>
    <w:rsid w:val="0080268A"/>
    <w:rsid w:val="00812BD2"/>
    <w:rsid w:val="00813772"/>
    <w:rsid w:val="008437FE"/>
    <w:rsid w:val="00856F88"/>
    <w:rsid w:val="0089147C"/>
    <w:rsid w:val="008A6385"/>
    <w:rsid w:val="008A7D9E"/>
    <w:rsid w:val="008B3773"/>
    <w:rsid w:val="008D0A5D"/>
    <w:rsid w:val="008D6C6F"/>
    <w:rsid w:val="008E085B"/>
    <w:rsid w:val="008E3413"/>
    <w:rsid w:val="00914E63"/>
    <w:rsid w:val="00962743"/>
    <w:rsid w:val="0098764F"/>
    <w:rsid w:val="0099003A"/>
    <w:rsid w:val="009B2011"/>
    <w:rsid w:val="009B44AF"/>
    <w:rsid w:val="009E71F4"/>
    <w:rsid w:val="00A3552B"/>
    <w:rsid w:val="00A42610"/>
    <w:rsid w:val="00A80DB5"/>
    <w:rsid w:val="00AC55B8"/>
    <w:rsid w:val="00AF06FA"/>
    <w:rsid w:val="00B00F9E"/>
    <w:rsid w:val="00B1004F"/>
    <w:rsid w:val="00B368BD"/>
    <w:rsid w:val="00B70CAC"/>
    <w:rsid w:val="00B800D6"/>
    <w:rsid w:val="00B85CAB"/>
    <w:rsid w:val="00B90835"/>
    <w:rsid w:val="00BC6544"/>
    <w:rsid w:val="00BD72A9"/>
    <w:rsid w:val="00BE214C"/>
    <w:rsid w:val="00BF3481"/>
    <w:rsid w:val="00BF548E"/>
    <w:rsid w:val="00C33293"/>
    <w:rsid w:val="00C34A49"/>
    <w:rsid w:val="00C45FA4"/>
    <w:rsid w:val="00C53A6B"/>
    <w:rsid w:val="00C55DA4"/>
    <w:rsid w:val="00C55EE9"/>
    <w:rsid w:val="00C6234A"/>
    <w:rsid w:val="00C80365"/>
    <w:rsid w:val="00C87BFA"/>
    <w:rsid w:val="00CC15CB"/>
    <w:rsid w:val="00CC2BA5"/>
    <w:rsid w:val="00CF776F"/>
    <w:rsid w:val="00D13E24"/>
    <w:rsid w:val="00D56331"/>
    <w:rsid w:val="00DA0953"/>
    <w:rsid w:val="00DE2C0D"/>
    <w:rsid w:val="00DE782B"/>
    <w:rsid w:val="00E05309"/>
    <w:rsid w:val="00E5523F"/>
    <w:rsid w:val="00E55702"/>
    <w:rsid w:val="00E62B13"/>
    <w:rsid w:val="00E662E3"/>
    <w:rsid w:val="00EB700A"/>
    <w:rsid w:val="00EC5747"/>
    <w:rsid w:val="00EE3CE8"/>
    <w:rsid w:val="00F21048"/>
    <w:rsid w:val="00F23C8D"/>
    <w:rsid w:val="00F33F92"/>
    <w:rsid w:val="00F52FF3"/>
    <w:rsid w:val="00F55EAC"/>
    <w:rsid w:val="00F626D0"/>
    <w:rsid w:val="00F66338"/>
    <w:rsid w:val="00FF3E60"/>
    <w:rsid w:val="1AC370DE"/>
    <w:rsid w:val="315E2F51"/>
    <w:rsid w:val="35D2C1DE"/>
    <w:rsid w:val="4C0E9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BFA3"/>
  <w15:docId w15:val="{1BF2C544-C51B-E441-85EC-381B7BB3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365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F4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1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214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37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1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41E9"/>
  </w:style>
  <w:style w:type="paragraph" w:styleId="Footer">
    <w:name w:val="footer"/>
    <w:basedOn w:val="Normal"/>
    <w:link w:val="FooterChar"/>
    <w:uiPriority w:val="99"/>
    <w:unhideWhenUsed/>
    <w:rsid w:val="002F41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41E9"/>
  </w:style>
  <w:style w:type="character" w:styleId="FollowedHyperlink">
    <w:name w:val="FollowedHyperlink"/>
    <w:basedOn w:val="DefaultParagraphFont"/>
    <w:uiPriority w:val="99"/>
    <w:semiHidden/>
    <w:unhideWhenUsed/>
    <w:rsid w:val="004A438B"/>
    <w:rPr>
      <w:color w:val="800080" w:themeColor="followedHyperlink"/>
      <w:u w:val="single"/>
    </w:rPr>
  </w:style>
  <w:style w:type="paragraph" w:styleId="paragraph" w:customStyle="1">
    <w:name w:val="paragraph"/>
    <w:basedOn w:val="Normal"/>
    <w:rsid w:val="007658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5885"/>
  </w:style>
  <w:style w:type="character" w:styleId="eop" w:customStyle="1">
    <w:name w:val="eop"/>
    <w:basedOn w:val="DefaultParagraphFont"/>
    <w:rsid w:val="00765885"/>
  </w:style>
  <w:style w:type="character" w:styleId="contextualspellingandgrammarerror" w:customStyle="1">
    <w:name w:val="contextualspellingandgrammarerror"/>
    <w:basedOn w:val="DefaultParagraphFont"/>
    <w:rsid w:val="00F33F92"/>
  </w:style>
  <w:style w:type="table" w:styleId="TableGrid">
    <w:name w:val="Table Grid"/>
    <w:basedOn w:val="TableNormal"/>
    <w:uiPriority w:val="59"/>
    <w:unhideWhenUsed/>
    <w:rsid w:val="00BD72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80365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80365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rsid w:val="00C8036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56FFA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rsid w:val="00203F4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sltplace@essex.ac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a4944a741336415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ee64-d415-4b7b-815a-e8b55688fa38}"/>
      </w:docPartPr>
      <w:docPartBody>
        <w:p w14:paraId="35D2C1D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Essex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Sherratt, Sarah E</dc:creator>
  <lastModifiedBy>Kay, Annabel C</lastModifiedBy>
  <revision>4</revision>
  <dcterms:created xsi:type="dcterms:W3CDTF">2023-06-28T14:07:00.0000000Z</dcterms:created>
  <dcterms:modified xsi:type="dcterms:W3CDTF">2023-06-29T08:57:19.1254579Z</dcterms:modified>
</coreProperties>
</file>