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5C29" w14:textId="6EBE0596" w:rsidR="00D6483B" w:rsidRPr="001742E5" w:rsidRDefault="00583467" w:rsidP="00E13288">
      <w:pPr>
        <w:pStyle w:val="Title"/>
        <w:rPr>
          <w:rFonts w:ascii="Arial" w:hAnsi="Arial" w:cs="Arial"/>
        </w:rPr>
      </w:pPr>
      <w:r w:rsidRPr="001742E5">
        <w:rPr>
          <w:rFonts w:ascii="Arial" w:hAnsi="Arial" w:cs="Arial"/>
        </w:rPr>
        <w:t>Mitigating inequalities in access to stroke rehabilitation for stroke survivors in coastal Suffolk and Essex</w:t>
      </w:r>
    </w:p>
    <w:p w14:paraId="33267C1E" w14:textId="77777777" w:rsidR="00583467" w:rsidRPr="001742E5" w:rsidRDefault="00583467" w:rsidP="00E13288">
      <w:pPr>
        <w:spacing w:after="0" w:line="360" w:lineRule="auto"/>
        <w:rPr>
          <w:rFonts w:ascii="Arial" w:hAnsi="Arial" w:cs="Arial"/>
          <w:sz w:val="20"/>
          <w:szCs w:val="20"/>
        </w:rPr>
      </w:pPr>
    </w:p>
    <w:p w14:paraId="6CB70790" w14:textId="66B0461F" w:rsidR="00583467" w:rsidRPr="001742E5" w:rsidRDefault="17DF6B61" w:rsidP="00E13288">
      <w:pPr>
        <w:pStyle w:val="Heading1"/>
        <w:spacing w:line="360" w:lineRule="auto"/>
        <w:rPr>
          <w:rFonts w:ascii="Arial" w:hAnsi="Arial" w:cs="Arial"/>
          <w:color w:val="auto"/>
        </w:rPr>
      </w:pPr>
      <w:r w:rsidRPr="001742E5">
        <w:rPr>
          <w:rFonts w:ascii="Arial" w:hAnsi="Arial" w:cs="Arial"/>
          <w:color w:val="auto"/>
        </w:rPr>
        <w:t>Policy context</w:t>
      </w:r>
    </w:p>
    <w:p w14:paraId="065EC232" w14:textId="501BF297" w:rsidR="00F11DAC" w:rsidRPr="001742E5" w:rsidRDefault="571B3021" w:rsidP="571B3021">
      <w:pPr>
        <w:spacing w:line="360" w:lineRule="auto"/>
        <w:rPr>
          <w:rFonts w:ascii="Arial" w:hAnsi="Arial" w:cs="Arial"/>
        </w:rPr>
      </w:pPr>
      <w:r w:rsidRPr="001742E5">
        <w:rPr>
          <w:rFonts w:ascii="Arial" w:hAnsi="Arial" w:cs="Arial"/>
          <w:b/>
          <w:bCs/>
        </w:rPr>
        <w:t>The number of people surviving a stroke and living with its consequences is expected to increase year on year</w:t>
      </w:r>
      <w:r w:rsidRPr="001742E5">
        <w:rPr>
          <w:rFonts w:ascii="Arial" w:hAnsi="Arial" w:cs="Arial"/>
        </w:rPr>
        <w:t xml:space="preserve">. </w:t>
      </w:r>
    </w:p>
    <w:p w14:paraId="29106F01" w14:textId="6EC7965F" w:rsidR="00F11DAC" w:rsidRPr="001742E5" w:rsidRDefault="17DF6B61" w:rsidP="00E13288">
      <w:pPr>
        <w:spacing w:line="360" w:lineRule="auto"/>
        <w:rPr>
          <w:rFonts w:ascii="Arial" w:hAnsi="Arial" w:cs="Arial"/>
        </w:rPr>
      </w:pPr>
      <w:r w:rsidRPr="001742E5">
        <w:rPr>
          <w:rFonts w:ascii="Arial" w:hAnsi="Arial" w:cs="Arial"/>
        </w:rPr>
        <w:t xml:space="preserve">The </w:t>
      </w:r>
      <w:r w:rsidRPr="001742E5">
        <w:rPr>
          <w:rFonts w:ascii="Arial" w:hAnsi="Arial" w:cs="Arial"/>
          <w:b/>
          <w:bCs/>
        </w:rPr>
        <w:t>NHS National Stroke Service Model</w:t>
      </w:r>
      <w:r w:rsidR="00164A91" w:rsidRPr="001742E5">
        <w:rPr>
          <w:rFonts w:ascii="Arial" w:hAnsi="Arial" w:cs="Arial"/>
          <w:b/>
          <w:bCs/>
        </w:rPr>
        <w:t>’s</w:t>
      </w:r>
      <w:r w:rsidR="00164A91" w:rsidRPr="001742E5">
        <w:rPr>
          <w:rFonts w:ascii="Arial" w:hAnsi="Arial" w:cs="Arial"/>
        </w:rPr>
        <w:t xml:space="preserve"> </w:t>
      </w:r>
      <w:r w:rsidR="00164A91" w:rsidRPr="001742E5">
        <w:rPr>
          <w:rFonts w:ascii="Arial" w:hAnsi="Arial" w:cs="Arial"/>
          <w:b/>
          <w:bCs/>
        </w:rPr>
        <w:t>Integrated Community Stroke Service (ICSS)</w:t>
      </w:r>
      <w:r w:rsidR="00164A91" w:rsidRPr="001742E5">
        <w:rPr>
          <w:rFonts w:ascii="Arial" w:hAnsi="Arial" w:cs="Arial"/>
        </w:rPr>
        <w:t xml:space="preserve"> and its </w:t>
      </w:r>
      <w:r w:rsidRPr="001742E5">
        <w:rPr>
          <w:rFonts w:ascii="Arial" w:hAnsi="Arial" w:cs="Arial"/>
        </w:rPr>
        <w:t xml:space="preserve">associated guidance advocates that models of rehabilitation should be patient-centred, provided in the community and based on an individuals’ changing needs. The NHS </w:t>
      </w:r>
      <w:r w:rsidRPr="001742E5">
        <w:rPr>
          <w:rFonts w:ascii="Arial" w:hAnsi="Arial" w:cs="Arial"/>
          <w:b/>
          <w:bCs/>
        </w:rPr>
        <w:t>Core20PLUS approach</w:t>
      </w:r>
      <w:r w:rsidRPr="001742E5">
        <w:rPr>
          <w:rFonts w:ascii="Arial" w:hAnsi="Arial" w:cs="Arial"/>
        </w:rPr>
        <w:t xml:space="preserve"> recognises that some face greater barriers to health, and health care, than others, producing health inequalities. To tackle barriers to service access and mitigate health inequalities, the </w:t>
      </w:r>
      <w:r w:rsidRPr="001742E5">
        <w:rPr>
          <w:rFonts w:ascii="Arial" w:hAnsi="Arial" w:cs="Arial"/>
          <w:b/>
          <w:bCs/>
        </w:rPr>
        <w:t>NHS Long Term Health Plan</w:t>
      </w:r>
      <w:r w:rsidRPr="001742E5">
        <w:rPr>
          <w:rFonts w:ascii="Arial" w:hAnsi="Arial" w:cs="Arial"/>
        </w:rPr>
        <w:t xml:space="preserve"> calls for greater community-based health and social care services.  </w:t>
      </w:r>
    </w:p>
    <w:p w14:paraId="11D71B6A" w14:textId="67557AF1" w:rsidR="00074039" w:rsidRPr="001742E5" w:rsidRDefault="00074039" w:rsidP="00074039">
      <w:pPr>
        <w:pStyle w:val="Heading1"/>
        <w:spacing w:line="360" w:lineRule="auto"/>
        <w:rPr>
          <w:rFonts w:ascii="Arial" w:hAnsi="Arial" w:cs="Arial"/>
          <w:color w:val="auto"/>
        </w:rPr>
      </w:pPr>
      <w:r w:rsidRPr="001742E5">
        <w:rPr>
          <w:rFonts w:ascii="Arial" w:hAnsi="Arial" w:cs="Arial"/>
          <w:color w:val="auto"/>
        </w:rPr>
        <w:t>The problem</w:t>
      </w:r>
    </w:p>
    <w:p w14:paraId="43A1DDF0" w14:textId="3AF61075" w:rsidR="00583467" w:rsidRPr="001742E5" w:rsidRDefault="17DF6B61" w:rsidP="571B3021">
      <w:pPr>
        <w:spacing w:line="360" w:lineRule="auto"/>
        <w:rPr>
          <w:rFonts w:ascii="Arial" w:hAnsi="Arial" w:cs="Arial"/>
        </w:rPr>
      </w:pPr>
      <w:r w:rsidRPr="001742E5">
        <w:rPr>
          <w:rFonts w:ascii="Arial" w:hAnsi="Arial" w:cs="Arial"/>
          <w:b/>
          <w:bCs/>
        </w:rPr>
        <w:t>Compared with urban or other rural areas, coastal communities – comprising large populations who are more likely to be older, poorer or ethnically, culturally and linguistically diverse– experience a higher burden of stroke.</w:t>
      </w:r>
      <w:r w:rsidRPr="001742E5">
        <w:rPr>
          <w:rFonts w:ascii="Arial" w:hAnsi="Arial" w:cs="Arial"/>
        </w:rPr>
        <w:t xml:space="preserve"> </w:t>
      </w:r>
    </w:p>
    <w:p w14:paraId="411EA172" w14:textId="415C259B" w:rsidR="00583467" w:rsidRPr="001742E5" w:rsidRDefault="17DF6B61" w:rsidP="00E13288">
      <w:pPr>
        <w:spacing w:line="360" w:lineRule="auto"/>
        <w:rPr>
          <w:rFonts w:ascii="Arial" w:hAnsi="Arial" w:cs="Arial"/>
        </w:rPr>
      </w:pPr>
      <w:r w:rsidRPr="001742E5">
        <w:rPr>
          <w:rFonts w:ascii="Arial" w:hAnsi="Arial" w:cs="Arial"/>
        </w:rPr>
        <w:t xml:space="preserve">Stroke services are locally commissioned but work to the same specification outlined in the National model. Current policy documents fall short of describing how stroke systems operating in varied regional contexts can deliver equitable care and coverage. </w:t>
      </w:r>
      <w:r w:rsidR="00164A91" w:rsidRPr="001742E5">
        <w:rPr>
          <w:rFonts w:ascii="Arial" w:hAnsi="Arial" w:cs="Arial"/>
        </w:rPr>
        <w:t xml:space="preserve">There is much emerging evidence on ‘what </w:t>
      </w:r>
      <w:proofErr w:type="gramStart"/>
      <w:r w:rsidR="00164A91" w:rsidRPr="001742E5">
        <w:rPr>
          <w:rFonts w:ascii="Arial" w:hAnsi="Arial" w:cs="Arial"/>
        </w:rPr>
        <w:t>works’</w:t>
      </w:r>
      <w:proofErr w:type="gramEnd"/>
      <w:r w:rsidR="00164A91" w:rsidRPr="001742E5">
        <w:rPr>
          <w:rFonts w:ascii="Arial" w:hAnsi="Arial" w:cs="Arial"/>
        </w:rPr>
        <w:t xml:space="preserve"> for stroke rehabilitation and stroke therapies. However, there remain </w:t>
      </w:r>
      <w:r w:rsidRPr="001742E5">
        <w:rPr>
          <w:rFonts w:ascii="Arial" w:hAnsi="Arial" w:cs="Arial"/>
        </w:rPr>
        <w:t>gaps in</w:t>
      </w:r>
      <w:r w:rsidR="00164A91" w:rsidRPr="001742E5">
        <w:rPr>
          <w:rFonts w:ascii="Arial" w:hAnsi="Arial" w:cs="Arial"/>
        </w:rPr>
        <w:t xml:space="preserve"> our</w:t>
      </w:r>
      <w:r w:rsidRPr="001742E5">
        <w:rPr>
          <w:rFonts w:ascii="Arial" w:hAnsi="Arial" w:cs="Arial"/>
        </w:rPr>
        <w:t xml:space="preserve"> knowledge of </w:t>
      </w:r>
      <w:r w:rsidR="00164A91" w:rsidRPr="001742E5">
        <w:rPr>
          <w:rFonts w:ascii="Arial" w:hAnsi="Arial" w:cs="Arial"/>
        </w:rPr>
        <w:t xml:space="preserve">how the current stroke rehabilitation system addresses and mitigates health inequalities for the most vulnerable and marginalised populations in this community. </w:t>
      </w:r>
      <w:r w:rsidRPr="001742E5">
        <w:rPr>
          <w:rFonts w:ascii="Arial" w:hAnsi="Arial" w:cs="Arial"/>
        </w:rPr>
        <w:t xml:space="preserve">Policy makers need to implement systems and models of care that respond to the local issues pervading equitable and accessible stoke rehabilitation. </w:t>
      </w:r>
    </w:p>
    <w:p w14:paraId="4AAAF4AE" w14:textId="5B365E71" w:rsidR="00583467" w:rsidRPr="001742E5" w:rsidRDefault="00583467" w:rsidP="00E13288">
      <w:pPr>
        <w:pStyle w:val="Heading1"/>
        <w:spacing w:line="360" w:lineRule="auto"/>
        <w:rPr>
          <w:rFonts w:ascii="Arial" w:hAnsi="Arial" w:cs="Arial"/>
          <w:color w:val="auto"/>
        </w:rPr>
      </w:pPr>
      <w:r w:rsidRPr="001742E5">
        <w:rPr>
          <w:rFonts w:ascii="Arial" w:hAnsi="Arial" w:cs="Arial"/>
          <w:color w:val="auto"/>
        </w:rPr>
        <w:lastRenderedPageBreak/>
        <w:t>Research summary</w:t>
      </w:r>
    </w:p>
    <w:p w14:paraId="16352C83" w14:textId="598CAB47" w:rsidR="00F11DAC" w:rsidRPr="001742E5" w:rsidRDefault="17DF6B61" w:rsidP="00E13288">
      <w:pPr>
        <w:spacing w:line="360" w:lineRule="auto"/>
        <w:rPr>
          <w:rFonts w:ascii="Arial" w:hAnsi="Arial" w:cs="Arial"/>
        </w:rPr>
      </w:pPr>
      <w:r w:rsidRPr="001742E5">
        <w:rPr>
          <w:rFonts w:ascii="Arial" w:hAnsi="Arial" w:cs="Arial"/>
        </w:rPr>
        <w:t xml:space="preserve">Our research examined the barriers and solutions to achieving health equality in stroke rehabilitation and life-after-stroke services in the coastal area of East Suffolk and North Essex. Professional stakeholders assessed the system-level aspects of the care model (such as workforce, resourcing, and information governance) in relation to whether there were areas that produced inequality. Focus group discussions sought to understand more about how inequalities were produced and what actions needed to be taken to address them. </w:t>
      </w:r>
    </w:p>
    <w:p w14:paraId="465B94C1" w14:textId="4F85E9CA" w:rsidR="00583467" w:rsidRPr="001742E5" w:rsidRDefault="00583467" w:rsidP="00E13288">
      <w:pPr>
        <w:pStyle w:val="Heading1"/>
        <w:spacing w:line="360" w:lineRule="auto"/>
        <w:rPr>
          <w:rFonts w:ascii="Arial" w:hAnsi="Arial" w:cs="Arial"/>
          <w:color w:val="auto"/>
        </w:rPr>
      </w:pPr>
      <w:r w:rsidRPr="001742E5">
        <w:rPr>
          <w:rFonts w:ascii="Arial" w:hAnsi="Arial" w:cs="Arial"/>
          <w:color w:val="auto"/>
        </w:rPr>
        <w:t>Key findings</w:t>
      </w:r>
    </w:p>
    <w:p w14:paraId="2CEDC68A" w14:textId="16850577" w:rsidR="00E13288" w:rsidRPr="001742E5" w:rsidRDefault="17DF6B61" w:rsidP="0070790C">
      <w:pPr>
        <w:pStyle w:val="ListParagraph"/>
        <w:numPr>
          <w:ilvl w:val="0"/>
          <w:numId w:val="1"/>
        </w:numPr>
        <w:spacing w:line="360" w:lineRule="auto"/>
        <w:rPr>
          <w:rFonts w:ascii="Arial" w:hAnsi="Arial" w:cs="Arial"/>
        </w:rPr>
      </w:pPr>
      <w:r w:rsidRPr="001742E5">
        <w:rPr>
          <w:rFonts w:ascii="Arial" w:hAnsi="Arial" w:cs="Arial"/>
          <w:b/>
          <w:bCs/>
        </w:rPr>
        <w:t>There are s</w:t>
      </w:r>
      <w:r w:rsidR="00164A91" w:rsidRPr="001742E5">
        <w:rPr>
          <w:rFonts w:ascii="Arial" w:hAnsi="Arial" w:cs="Arial"/>
          <w:b/>
          <w:bCs/>
        </w:rPr>
        <w:t>ignificant s</w:t>
      </w:r>
      <w:r w:rsidRPr="001742E5">
        <w:rPr>
          <w:rFonts w:ascii="Arial" w:hAnsi="Arial" w:cs="Arial"/>
          <w:b/>
          <w:bCs/>
        </w:rPr>
        <w:t>hortfalls</w:t>
      </w:r>
      <w:r w:rsidRPr="001742E5">
        <w:rPr>
          <w:rFonts w:ascii="Arial" w:hAnsi="Arial" w:cs="Arial"/>
        </w:rPr>
        <w:t xml:space="preserve"> </w:t>
      </w:r>
      <w:r w:rsidRPr="001742E5">
        <w:rPr>
          <w:rFonts w:ascii="Arial" w:hAnsi="Arial" w:cs="Arial"/>
          <w:b/>
          <w:bCs/>
        </w:rPr>
        <w:t xml:space="preserve">in </w:t>
      </w:r>
      <w:r w:rsidR="00164A91" w:rsidRPr="001742E5">
        <w:rPr>
          <w:rFonts w:ascii="Arial" w:hAnsi="Arial" w:cs="Arial"/>
          <w:b/>
          <w:bCs/>
        </w:rPr>
        <w:t>long-term</w:t>
      </w:r>
      <w:r w:rsidRPr="001742E5">
        <w:rPr>
          <w:rFonts w:ascii="Arial" w:hAnsi="Arial" w:cs="Arial"/>
          <w:b/>
          <w:bCs/>
        </w:rPr>
        <w:t xml:space="preserve"> life-after-stroke services. </w:t>
      </w:r>
      <w:r w:rsidRPr="001742E5">
        <w:rPr>
          <w:rFonts w:ascii="Arial" w:hAnsi="Arial" w:cs="Arial"/>
        </w:rPr>
        <w:t xml:space="preserve">After the </w:t>
      </w:r>
      <w:proofErr w:type="gramStart"/>
      <w:r w:rsidRPr="001742E5">
        <w:rPr>
          <w:rFonts w:ascii="Arial" w:hAnsi="Arial" w:cs="Arial"/>
        </w:rPr>
        <w:t>6 week</w:t>
      </w:r>
      <w:proofErr w:type="gramEnd"/>
      <w:r w:rsidRPr="001742E5">
        <w:rPr>
          <w:rFonts w:ascii="Arial" w:hAnsi="Arial" w:cs="Arial"/>
        </w:rPr>
        <w:t xml:space="preserve"> post-stroke period, and the 6 month post-stroke review period, stroke survivors experience substantial challenges in getting the health and social care they need. This is related to workforce shortages, sparse regional coverage, and clinic</w:t>
      </w:r>
      <w:r w:rsidRPr="001742E5">
        <w:rPr>
          <w:rFonts w:ascii="Cambria Math" w:hAnsi="Cambria Math" w:cs="Cambria Math"/>
        </w:rPr>
        <w:t>‑</w:t>
      </w:r>
      <w:r w:rsidRPr="001742E5">
        <w:rPr>
          <w:rFonts w:ascii="Arial" w:hAnsi="Arial" w:cs="Arial"/>
        </w:rPr>
        <w:t xml:space="preserve">only models that do not fit local realities (e.g., limited domiciliary provision, lack of evening/weekend rehab). </w:t>
      </w:r>
    </w:p>
    <w:p w14:paraId="6EE4583D" w14:textId="431C23B9" w:rsidR="008A1CA4" w:rsidRPr="001742E5" w:rsidRDefault="17DF6B61" w:rsidP="0070790C">
      <w:pPr>
        <w:pStyle w:val="ListParagraph"/>
        <w:numPr>
          <w:ilvl w:val="0"/>
          <w:numId w:val="1"/>
        </w:numPr>
        <w:spacing w:line="360" w:lineRule="auto"/>
        <w:rPr>
          <w:rFonts w:ascii="Arial" w:hAnsi="Arial" w:cs="Arial"/>
        </w:rPr>
      </w:pPr>
      <w:r w:rsidRPr="001742E5">
        <w:rPr>
          <w:rFonts w:ascii="Arial" w:hAnsi="Arial" w:cs="Arial"/>
          <w:b/>
          <w:bCs/>
        </w:rPr>
        <w:t>Stroke survivors who have specific intersecting characteristics face exceptional barriers to accessing stroke rehabilitation</w:t>
      </w:r>
      <w:r w:rsidRPr="001742E5">
        <w:rPr>
          <w:rFonts w:ascii="Arial" w:hAnsi="Arial" w:cs="Arial"/>
        </w:rPr>
        <w:t>. These barriers are experienced most strongly by stroke survivors who: have chronic and severe mobility difficulties (especially those who require a wheelchair), have post-stroke communication difficulties, speak languages other than English, and do not have the financial resources to fund private transport options. This is related to poor coordination between health, social care, and transport systems (e.g., wheelchair users facing non-accessible entrances from taxi drop</w:t>
      </w:r>
      <w:r w:rsidRPr="001742E5">
        <w:rPr>
          <w:rFonts w:ascii="Cambria Math" w:hAnsi="Cambria Math" w:cs="Cambria Math"/>
        </w:rPr>
        <w:t>‑</w:t>
      </w:r>
      <w:r w:rsidRPr="001742E5">
        <w:rPr>
          <w:rFonts w:ascii="Arial" w:hAnsi="Arial" w:cs="Arial"/>
        </w:rPr>
        <w:t>offs; people with aphasia receiving non</w:t>
      </w:r>
      <w:r w:rsidRPr="001742E5">
        <w:rPr>
          <w:rFonts w:ascii="Cambria Math" w:hAnsi="Cambria Math" w:cs="Cambria Math"/>
        </w:rPr>
        <w:t>‑</w:t>
      </w:r>
      <w:r w:rsidRPr="001742E5">
        <w:rPr>
          <w:rFonts w:ascii="Arial" w:hAnsi="Arial" w:cs="Arial"/>
        </w:rPr>
        <w:t>aphasia</w:t>
      </w:r>
      <w:r w:rsidRPr="001742E5">
        <w:rPr>
          <w:rFonts w:ascii="Cambria Math" w:hAnsi="Cambria Math" w:cs="Cambria Math"/>
        </w:rPr>
        <w:t>‑</w:t>
      </w:r>
      <w:r w:rsidRPr="001742E5">
        <w:rPr>
          <w:rFonts w:ascii="Arial" w:hAnsi="Arial" w:cs="Arial"/>
        </w:rPr>
        <w:t xml:space="preserve">friendly letters).  </w:t>
      </w:r>
    </w:p>
    <w:p w14:paraId="679428F8" w14:textId="025D8108" w:rsidR="00E13288" w:rsidRPr="001742E5" w:rsidRDefault="17DF6B61" w:rsidP="008A1CA4">
      <w:pPr>
        <w:pStyle w:val="ListParagraph"/>
        <w:numPr>
          <w:ilvl w:val="0"/>
          <w:numId w:val="1"/>
        </w:numPr>
        <w:spacing w:line="360" w:lineRule="auto"/>
        <w:rPr>
          <w:rFonts w:ascii="Arial" w:hAnsi="Arial" w:cs="Arial"/>
        </w:rPr>
      </w:pPr>
      <w:r w:rsidRPr="001742E5">
        <w:rPr>
          <w:rFonts w:ascii="Arial" w:hAnsi="Arial" w:cs="Arial"/>
          <w:b/>
          <w:bCs/>
        </w:rPr>
        <w:t xml:space="preserve">There are limited systems in place to monitor and understand potential inequalities in the population. </w:t>
      </w:r>
      <w:r w:rsidRPr="001742E5">
        <w:rPr>
          <w:rFonts w:ascii="Arial" w:hAnsi="Arial" w:cs="Arial"/>
        </w:rPr>
        <w:t>Data integration across the pathway and life-after-stroke services is poor or absent</w:t>
      </w:r>
      <w:r w:rsidRPr="001742E5">
        <w:rPr>
          <w:rFonts w:ascii="Arial" w:hAnsi="Arial" w:cs="Arial"/>
          <w:b/>
          <w:bCs/>
        </w:rPr>
        <w:t xml:space="preserve">. </w:t>
      </w:r>
      <w:r w:rsidRPr="001742E5">
        <w:rPr>
          <w:rFonts w:ascii="Arial" w:hAnsi="Arial" w:cs="Arial"/>
        </w:rPr>
        <w:t>This limits service design and continuous quality improvement. Practical gaps include missing key fields (e.g., preferred language, ethnicity, disability profile, transport need), lack of linkage across providers, unclear data</w:t>
      </w:r>
      <w:r w:rsidRPr="001742E5">
        <w:rPr>
          <w:rFonts w:ascii="Cambria Math" w:hAnsi="Cambria Math" w:cs="Cambria Math"/>
        </w:rPr>
        <w:t>‑</w:t>
      </w:r>
      <w:r w:rsidRPr="001742E5">
        <w:rPr>
          <w:rFonts w:ascii="Arial" w:hAnsi="Arial" w:cs="Arial"/>
        </w:rPr>
        <w:t xml:space="preserve">sharing agreements, and limited digital access for some service users. </w:t>
      </w:r>
    </w:p>
    <w:p w14:paraId="04C1CD8A" w14:textId="0B394FE3" w:rsidR="00583467" w:rsidRPr="001742E5" w:rsidRDefault="00583467" w:rsidP="00E13288">
      <w:pPr>
        <w:pStyle w:val="Heading1"/>
        <w:spacing w:line="360" w:lineRule="auto"/>
        <w:rPr>
          <w:rFonts w:ascii="Arial" w:hAnsi="Arial" w:cs="Arial"/>
          <w:color w:val="auto"/>
        </w:rPr>
      </w:pPr>
      <w:r w:rsidRPr="001742E5">
        <w:rPr>
          <w:rFonts w:ascii="Arial" w:hAnsi="Arial" w:cs="Arial"/>
          <w:color w:val="auto"/>
        </w:rPr>
        <w:lastRenderedPageBreak/>
        <w:t xml:space="preserve">Policy options </w:t>
      </w:r>
    </w:p>
    <w:p w14:paraId="4E05256B" w14:textId="2F807CEC" w:rsidR="34220E48" w:rsidRDefault="34220E48" w:rsidP="34220E48">
      <w:pPr>
        <w:pStyle w:val="ListParagraph"/>
        <w:numPr>
          <w:ilvl w:val="0"/>
          <w:numId w:val="2"/>
        </w:numPr>
        <w:spacing w:after="0" w:line="360" w:lineRule="auto"/>
        <w:rPr>
          <w:rFonts w:ascii="Arial" w:eastAsia="Calibri" w:hAnsi="Arial" w:cs="Arial"/>
          <w:i/>
          <w:iCs/>
        </w:rPr>
      </w:pPr>
      <w:r w:rsidRPr="34220E48">
        <w:rPr>
          <w:rFonts w:ascii="Arial" w:hAnsi="Arial" w:cs="Arial"/>
          <w:b/>
          <w:bCs/>
        </w:rPr>
        <w:t>Implement a simple, standardised “minimum equity dataset”</w:t>
      </w:r>
      <w:r w:rsidRPr="34220E48">
        <w:rPr>
          <w:rFonts w:ascii="Arial" w:hAnsi="Arial" w:cs="Arial"/>
        </w:rPr>
        <w:t xml:space="preserve"> </w:t>
      </w:r>
    </w:p>
    <w:p w14:paraId="13018387" w14:textId="18815B71" w:rsidR="34220E48" w:rsidRPr="00EA569C" w:rsidRDefault="5F9EB974" w:rsidP="5F9EB974">
      <w:pPr>
        <w:pStyle w:val="ListParagraph"/>
        <w:spacing w:after="0" w:line="360" w:lineRule="auto"/>
        <w:rPr>
          <w:rFonts w:ascii="Arial" w:eastAsia="Calibri" w:hAnsi="Arial" w:cs="Arial"/>
        </w:rPr>
      </w:pPr>
      <w:r w:rsidRPr="5F9EB974">
        <w:rPr>
          <w:rFonts w:ascii="Arial" w:eastAsia="Calibri" w:hAnsi="Arial" w:cs="Arial"/>
        </w:rPr>
        <w:t xml:space="preserve">To </w:t>
      </w:r>
      <w:r w:rsidRPr="00EA569C">
        <w:rPr>
          <w:rFonts w:ascii="Arial" w:eastAsia="Calibri" w:hAnsi="Arial" w:cs="Arial"/>
        </w:rPr>
        <w:t>reduce inequities in Life After Stroke (LAS) care, we recommend a simple and standardised approach to equity data. A Minimum Equity Data Set (LAS-MEDS)</w:t>
      </w:r>
      <w:r w:rsidRPr="00EA569C">
        <w:rPr>
          <w:rFonts w:ascii="Arial" w:eastAsia="Calibri" w:hAnsi="Arial" w:cs="Arial"/>
          <w:i/>
          <w:iCs/>
        </w:rPr>
        <w:t xml:space="preserve"> </w:t>
      </w:r>
      <w:r w:rsidRPr="00EA569C">
        <w:rPr>
          <w:rFonts w:ascii="Arial" w:eastAsia="Calibri" w:hAnsi="Arial" w:cs="Arial"/>
        </w:rPr>
        <w:t>should be collected at referral and follow-up, covering core fields such as preferred language, ethnicity, disability/communication profile, housing and postcode (for deprivation/rurality), transport need, and carer status. Data should be recorded consistently at hospital discharge and during 6- and 12-month reviews, using the Greater Manchester Stroke Assessment Tool (GM-SAT) framework and aligned with the Sentinel Stroke National Audit Programme (SSNAP).</w:t>
      </w:r>
    </w:p>
    <w:p w14:paraId="0427F27F" w14:textId="6E9918C9" w:rsidR="34220E48" w:rsidRDefault="39EC0FB9" w:rsidP="34220E48">
      <w:pPr>
        <w:pStyle w:val="ListParagraph"/>
        <w:spacing w:after="0" w:line="360" w:lineRule="auto"/>
        <w:rPr>
          <w:rFonts w:ascii="Arial" w:eastAsia="Calibri" w:hAnsi="Arial" w:cs="Arial"/>
        </w:rPr>
      </w:pPr>
      <w:r w:rsidRPr="00EA569C">
        <w:rPr>
          <w:rFonts w:ascii="Arial" w:eastAsia="Calibri" w:hAnsi="Arial" w:cs="Arial"/>
        </w:rPr>
        <w:t xml:space="preserve">This dataset should be linked across hospitals, community stroke, mental health and social care providers under a Data Protection Impact Assessment (DPIA) and Data Sharing Agreement (DSA), with identifiers replaced by secure codes (pseudonymisation). A regular local dashboard (quarterly report) should combine these data with Therapy Outcomes and Patient‑Reported Outcome Measures (PROMs) and Patient‑Reported Experience </w:t>
      </w:r>
      <w:r w:rsidRPr="39EC0FB9">
        <w:rPr>
          <w:rFonts w:ascii="Arial" w:eastAsia="Calibri" w:hAnsi="Arial" w:cs="Arial"/>
        </w:rPr>
        <w:t xml:space="preserve">Measures (PREMs), stratified by equity groups. This will make unmet needs visible, allow fair comparison between localities, and track progress in closing equity gaps. </w:t>
      </w:r>
    </w:p>
    <w:p w14:paraId="21F1E5CE" w14:textId="4468FDC9" w:rsidR="0F6A3BD6" w:rsidRDefault="39EC0FB9" w:rsidP="39EC0FB9">
      <w:pPr>
        <w:pStyle w:val="ListParagraph"/>
        <w:numPr>
          <w:ilvl w:val="0"/>
          <w:numId w:val="2"/>
        </w:numPr>
        <w:spacing w:line="360" w:lineRule="auto"/>
        <w:rPr>
          <w:rFonts w:ascii="Arial" w:hAnsi="Arial" w:cs="Arial"/>
          <w:color w:val="7F64A2"/>
        </w:rPr>
      </w:pPr>
      <w:r w:rsidRPr="39EC0FB9">
        <w:rPr>
          <w:rFonts w:ascii="Arial" w:hAnsi="Arial" w:cs="Arial"/>
          <w:b/>
          <w:bCs/>
        </w:rPr>
        <w:t xml:space="preserve">Extend coverage of and adapt the delivery of ICSS across </w:t>
      </w:r>
      <w:proofErr w:type="gramStart"/>
      <w:r w:rsidRPr="39EC0FB9">
        <w:rPr>
          <w:rFonts w:ascii="Arial" w:hAnsi="Arial" w:cs="Arial"/>
          <w:b/>
          <w:bCs/>
        </w:rPr>
        <w:t>all of</w:t>
      </w:r>
      <w:proofErr w:type="gramEnd"/>
      <w:r w:rsidRPr="39EC0FB9">
        <w:rPr>
          <w:rFonts w:ascii="Arial" w:hAnsi="Arial" w:cs="Arial"/>
          <w:b/>
          <w:bCs/>
        </w:rPr>
        <w:t xml:space="preserve"> ESNEFT based </w:t>
      </w:r>
      <w:r w:rsidRPr="00EA569C">
        <w:rPr>
          <w:rFonts w:ascii="Arial" w:hAnsi="Arial" w:cs="Arial"/>
        </w:rPr>
        <w:t xml:space="preserve">on intersectional analysis of population needs (supported by the LAS-MEDS). Maintaining person-centred care, service delivery options should be codesigned with service users and utilise neighbourhood-centred models of care as per the </w:t>
      </w:r>
      <w:proofErr w:type="gramStart"/>
      <w:r w:rsidRPr="00EA569C">
        <w:rPr>
          <w:rFonts w:ascii="Arial" w:hAnsi="Arial" w:cs="Arial"/>
        </w:rPr>
        <w:t>Ten Year</w:t>
      </w:r>
      <w:proofErr w:type="gramEnd"/>
      <w:r w:rsidRPr="00EA569C">
        <w:rPr>
          <w:rFonts w:ascii="Arial" w:hAnsi="Arial" w:cs="Arial"/>
        </w:rPr>
        <w:t xml:space="preserve"> Health Plan. Service delivery options can be stratified by layers of population/community needs for different groups based on at-risk characteristics (e.g. individualised, domiciliary rehab for those with severe mobilities needs’; digital therapy for those who have digital access, facilitated access to group therapy for people living alone). Further adaptations </w:t>
      </w:r>
      <w:proofErr w:type="gramStart"/>
      <w:r w:rsidRPr="00EA569C">
        <w:rPr>
          <w:rFonts w:ascii="Arial" w:hAnsi="Arial" w:cs="Arial"/>
        </w:rPr>
        <w:t>include:</w:t>
      </w:r>
      <w:proofErr w:type="gramEnd"/>
      <w:r w:rsidRPr="00EA569C">
        <w:rPr>
          <w:rFonts w:ascii="Arial" w:hAnsi="Arial" w:cs="Arial"/>
        </w:rPr>
        <w:t xml:space="preserve"> adding evening/weekend/community based sessions; expand domiciliary and mobile rehab; embed transport support (e.g., coordinated community transport, taxi vouchers) within the care pathway; individual and group therapy options for those with suitable resources, which may include digital; ensure multilingual/aphasia friendly communication by default, within existing national frameworks. To support service delivery and management of patient engagement and benefit, clear protocols outlining expectations of stroke rehabilitation, consolidated understandings of the </w:t>
      </w:r>
      <w:r w:rsidRPr="00EA569C">
        <w:rPr>
          <w:rFonts w:ascii="Arial" w:hAnsi="Arial" w:cs="Arial"/>
        </w:rPr>
        <w:lastRenderedPageBreak/>
        <w:t xml:space="preserve">aims of rehabilitation, anticipated therapies and self-management options should be communicated and documented at initial and interim time points, for service users and families to optimally engage in processes. Current, accessible and easy-to-understand information on support services should be universally provided at multiple time points throughout life-after-stroke, from any professional that they </w:t>
      </w:r>
      <w:proofErr w:type="gramStart"/>
      <w:r w:rsidRPr="00EA569C">
        <w:rPr>
          <w:rFonts w:ascii="Arial" w:hAnsi="Arial" w:cs="Arial"/>
        </w:rPr>
        <w:t>come into contact with</w:t>
      </w:r>
      <w:proofErr w:type="gramEnd"/>
      <w:r w:rsidRPr="00EA569C">
        <w:rPr>
          <w:rFonts w:ascii="Arial" w:hAnsi="Arial" w:cs="Arial"/>
        </w:rPr>
        <w:t xml:space="preserve"> (particularly, the GP). </w:t>
      </w:r>
    </w:p>
    <w:p w14:paraId="05CD5C36" w14:textId="4A16A016" w:rsidR="008E6E68" w:rsidRPr="00EA569C" w:rsidRDefault="6F630C29" w:rsidP="004E3CEB">
      <w:pPr>
        <w:pStyle w:val="ListParagraph"/>
        <w:numPr>
          <w:ilvl w:val="0"/>
          <w:numId w:val="2"/>
        </w:numPr>
        <w:spacing w:line="360" w:lineRule="auto"/>
        <w:rPr>
          <w:rFonts w:ascii="Arial" w:hAnsi="Arial" w:cs="Arial"/>
        </w:rPr>
      </w:pPr>
      <w:r w:rsidRPr="004E3CEB">
        <w:rPr>
          <w:rFonts w:ascii="Arial" w:hAnsi="Arial" w:cs="Arial"/>
          <w:b/>
          <w:bCs/>
        </w:rPr>
        <w:t>Formalise multi</w:t>
      </w:r>
      <w:r w:rsidRPr="004E3CEB">
        <w:rPr>
          <w:rFonts w:ascii="Cambria Math" w:hAnsi="Cambria Math" w:cs="Cambria Math"/>
          <w:b/>
          <w:bCs/>
        </w:rPr>
        <w:t>‑</w:t>
      </w:r>
      <w:r w:rsidRPr="004E3CEB">
        <w:rPr>
          <w:rFonts w:ascii="Arial" w:hAnsi="Arial" w:cs="Arial"/>
          <w:b/>
          <w:bCs/>
        </w:rPr>
        <w:t xml:space="preserve">sector partnerships </w:t>
      </w:r>
      <w:r w:rsidRPr="004E3CEB">
        <w:rPr>
          <w:rFonts w:ascii="Arial" w:hAnsi="Arial" w:cs="Arial"/>
        </w:rPr>
        <w:t xml:space="preserve">(health, social care, transport, Department for </w:t>
      </w:r>
      <w:r w:rsidRPr="00EA569C">
        <w:rPr>
          <w:rFonts w:ascii="Arial" w:hAnsi="Arial" w:cs="Arial"/>
        </w:rPr>
        <w:t>Work and Pensions, third sector) with a named lead, ring</w:t>
      </w:r>
      <w:r w:rsidRPr="00EA569C">
        <w:rPr>
          <w:rFonts w:ascii="Cambria Math" w:hAnsi="Cambria Math" w:cs="Cambria Math"/>
        </w:rPr>
        <w:t>‑</w:t>
      </w:r>
      <w:r w:rsidRPr="00EA569C">
        <w:rPr>
          <w:rFonts w:ascii="Arial" w:hAnsi="Arial" w:cs="Arial"/>
        </w:rPr>
        <w:t>fenced funds, and a single point of access for patients; negotiate low</w:t>
      </w:r>
      <w:r w:rsidRPr="00EA569C">
        <w:rPr>
          <w:rFonts w:ascii="Cambria Math" w:hAnsi="Cambria Math" w:cs="Cambria Math"/>
        </w:rPr>
        <w:t>‑</w:t>
      </w:r>
      <w:r w:rsidRPr="00EA569C">
        <w:rPr>
          <w:rFonts w:ascii="Arial" w:hAnsi="Arial" w:cs="Arial"/>
        </w:rPr>
        <w:t>cost transport schemes (e.g., community minibus routes, voucher programmes) aligned to clinic times and rehab venues.</w:t>
      </w:r>
    </w:p>
    <w:p w14:paraId="3257287C" w14:textId="77777777" w:rsidR="008E6E68" w:rsidRPr="00EA569C" w:rsidRDefault="008E6E68" w:rsidP="008E6E68">
      <w:pPr>
        <w:pStyle w:val="ListParagraph"/>
        <w:spacing w:after="0" w:line="360" w:lineRule="auto"/>
        <w:rPr>
          <w:rFonts w:ascii="Arial" w:eastAsia="Calibri" w:hAnsi="Arial" w:cs="Arial"/>
        </w:rPr>
      </w:pPr>
      <w:r w:rsidRPr="00EA569C">
        <w:rPr>
          <w:rFonts w:ascii="Arial" w:eastAsia="Calibri" w:hAnsi="Arial" w:cs="Arial"/>
        </w:rPr>
        <w:t xml:space="preserve">Building on stakeholder insights, these partnerships should map and connect existing initiatives—including community transport schemes, concessionary fares, volunteer-run minibuses, and available funding or grant opportunities (e.g., Motability)—rather than creating entirely new services. </w:t>
      </w:r>
    </w:p>
    <w:p w14:paraId="5F2E6147" w14:textId="533F56FD" w:rsidR="00C1707A" w:rsidRPr="00EA569C" w:rsidRDefault="004E3CEB" w:rsidP="00DE7B13">
      <w:pPr>
        <w:pStyle w:val="ListParagraph"/>
        <w:spacing w:after="0" w:line="360" w:lineRule="auto"/>
        <w:rPr>
          <w:rFonts w:ascii="Arial" w:eastAsia="Calibri" w:hAnsi="Arial" w:cs="Arial"/>
        </w:rPr>
      </w:pPr>
      <w:r w:rsidRPr="00EA569C">
        <w:rPr>
          <w:rFonts w:ascii="Arial" w:eastAsia="Calibri" w:hAnsi="Arial" w:cs="Arial"/>
        </w:rPr>
        <w:t xml:space="preserve">For example, the </w:t>
      </w:r>
      <w:r w:rsidRPr="00EA569C">
        <w:rPr>
          <w:rFonts w:ascii="Arial" w:eastAsia="Calibri" w:hAnsi="Arial" w:cs="Arial"/>
          <w:i/>
          <w:iCs/>
        </w:rPr>
        <w:t>Kent Community Transport Toolkit</w:t>
      </w:r>
      <w:r w:rsidRPr="00EA569C">
        <w:rPr>
          <w:rFonts w:ascii="Arial" w:eastAsia="Calibri" w:hAnsi="Arial" w:cs="Arial"/>
        </w:rPr>
        <w:t xml:space="preserve"> demonstrates how local schemes can be built on existing community assets: starting with a clear needs assessment, securing mixed funding (grants, local authority support, small user fares), and using volunteer car schemes or minibuses to provide flexible, low-cost transport. Such practical models show how transport can be sustainably embedded and scaled without requiring entirely new </w:t>
      </w:r>
      <w:proofErr w:type="gramStart"/>
      <w:r w:rsidRPr="00EA569C">
        <w:rPr>
          <w:rFonts w:ascii="Arial" w:eastAsia="Calibri" w:hAnsi="Arial" w:cs="Arial"/>
        </w:rPr>
        <w:t>infrastructure, and</w:t>
      </w:r>
      <w:proofErr w:type="gramEnd"/>
      <w:r w:rsidRPr="00EA569C">
        <w:rPr>
          <w:rFonts w:ascii="Arial" w:eastAsia="Calibri" w:hAnsi="Arial" w:cs="Arial"/>
        </w:rPr>
        <w:t xml:space="preserve"> can be adapted to local health</w:t>
      </w:r>
      <w:r w:rsidR="00C1707A" w:rsidRPr="00EA569C">
        <w:rPr>
          <w:rFonts w:ascii="Arial" w:eastAsia="Calibri" w:hAnsi="Arial" w:cs="Arial"/>
        </w:rPr>
        <w:t xml:space="preserve"> services </w:t>
      </w:r>
      <w:r w:rsidRPr="00EA569C">
        <w:rPr>
          <w:rFonts w:ascii="Arial" w:eastAsia="Calibri" w:hAnsi="Arial" w:cs="Arial"/>
        </w:rPr>
        <w:t xml:space="preserve">and </w:t>
      </w:r>
      <w:r w:rsidR="00C1707A" w:rsidRPr="00EA569C">
        <w:rPr>
          <w:rFonts w:ascii="Arial" w:eastAsia="Calibri" w:hAnsi="Arial" w:cs="Arial"/>
        </w:rPr>
        <w:t xml:space="preserve">support stroke </w:t>
      </w:r>
      <w:r w:rsidRPr="00EA569C">
        <w:rPr>
          <w:rFonts w:ascii="Arial" w:eastAsia="Calibri" w:hAnsi="Arial" w:cs="Arial"/>
        </w:rPr>
        <w:t>rehabilitation pathways.</w:t>
      </w:r>
    </w:p>
    <w:p w14:paraId="4934A54F" w14:textId="53478B10" w:rsidR="008E6E68" w:rsidRPr="00EA569C" w:rsidRDefault="004E3CEB" w:rsidP="004E3CEB">
      <w:pPr>
        <w:pStyle w:val="ListParagraph"/>
        <w:spacing w:after="0" w:line="360" w:lineRule="auto"/>
        <w:rPr>
          <w:rFonts w:ascii="Arial" w:eastAsia="Calibri" w:hAnsi="Arial" w:cs="Arial"/>
        </w:rPr>
      </w:pPr>
      <w:r w:rsidRPr="00EA569C">
        <w:rPr>
          <w:rFonts w:ascii="Arial" w:eastAsia="Calibri" w:hAnsi="Arial" w:cs="Arial"/>
        </w:rPr>
        <w:t>A dedicated Care Navigator or Care Coordinator should be introduced at key points, such as the six-month review or within social prescribing networks, to actively signpost patients and carers to available services. This role helps stroke survivors and carers avoid reliance on “luck of the draw” or chance encounters with knowledgeable staff. The patient enquiry process should be simple and standardised (e.g., a template form), with each case reviewed individually by the Care Navigation Service.</w:t>
      </w:r>
    </w:p>
    <w:p w14:paraId="7EB2ADF2" w14:textId="77777777" w:rsidR="004E3CEB" w:rsidRPr="00EA569C" w:rsidRDefault="004E3CEB" w:rsidP="004E3CEB">
      <w:pPr>
        <w:pStyle w:val="ListParagraph"/>
        <w:spacing w:after="0" w:line="360" w:lineRule="auto"/>
        <w:rPr>
          <w:rFonts w:ascii="Arial" w:eastAsia="Calibri" w:hAnsi="Arial" w:cs="Arial"/>
        </w:rPr>
      </w:pPr>
      <w:r w:rsidRPr="00EA569C">
        <w:rPr>
          <w:rFonts w:ascii="Arial" w:eastAsia="Calibri" w:hAnsi="Arial" w:cs="Arial"/>
        </w:rPr>
        <w:t xml:space="preserve">Services should also integrate patient “Passports”—updatable records that patients can hold themselves (paper or digital QR codes, e.g., Healthwatch Patient Cards)—to capture essential medical, communication, and support information. This approach ensures the patient record is accessible, patient-maintained, and </w:t>
      </w:r>
      <w:proofErr w:type="gramStart"/>
      <w:r w:rsidRPr="00EA569C">
        <w:rPr>
          <w:rFonts w:ascii="Arial" w:eastAsia="Calibri" w:hAnsi="Arial" w:cs="Arial"/>
        </w:rPr>
        <w:t>up-to-date</w:t>
      </w:r>
      <w:proofErr w:type="gramEnd"/>
      <w:r w:rsidRPr="00EA569C">
        <w:rPr>
          <w:rFonts w:ascii="Arial" w:eastAsia="Calibri" w:hAnsi="Arial" w:cs="Arial"/>
        </w:rPr>
        <w:t>, eliminates unnecessary repetition at each appointment, reduces the risk of miscommunication or errors, and supports continuity of care.</w:t>
      </w:r>
    </w:p>
    <w:p w14:paraId="6C7A0CF7" w14:textId="77777777" w:rsidR="004E3CEB" w:rsidRPr="00EA569C" w:rsidRDefault="004E3CEB" w:rsidP="004E3CEB">
      <w:pPr>
        <w:spacing w:after="0" w:line="360" w:lineRule="auto"/>
        <w:rPr>
          <w:rFonts w:ascii="Arial" w:eastAsia="Calibri" w:hAnsi="Arial" w:cs="Arial"/>
        </w:rPr>
      </w:pPr>
    </w:p>
    <w:p w14:paraId="65F83914" w14:textId="16F689C3" w:rsidR="004E3CEB" w:rsidRPr="004E3CEB" w:rsidRDefault="004E3CEB" w:rsidP="004E3CEB">
      <w:pPr>
        <w:pStyle w:val="ListParagraph"/>
        <w:spacing w:after="0" w:line="360" w:lineRule="auto"/>
        <w:rPr>
          <w:rFonts w:ascii="Arial" w:eastAsia="Calibri" w:hAnsi="Arial" w:cs="Arial"/>
        </w:rPr>
      </w:pPr>
      <w:r w:rsidRPr="6F630C29">
        <w:rPr>
          <w:rFonts w:ascii="Arial" w:eastAsia="Calibri" w:hAnsi="Arial" w:cs="Arial"/>
        </w:rPr>
        <w:lastRenderedPageBreak/>
        <w:t>Community hubs, libraries, and social care teams should be leveraged as accessible referral points, supported by user-friendly directories and clear communication channels. Partnerships should aim for sustainability through ring-fenced funding, a named organisational lead, and embedded monitoring using enhanced SSNAP/Right Care data, ensuring coordination, visibility of services, and long-term impact.</w:t>
      </w:r>
    </w:p>
    <w:p w14:paraId="6AFDB212" w14:textId="77777777" w:rsidR="004E3CEB" w:rsidRDefault="008E6E68" w:rsidP="008E6E68">
      <w:pPr>
        <w:pStyle w:val="ListParagraph"/>
        <w:spacing w:after="0" w:line="360" w:lineRule="auto"/>
        <w:rPr>
          <w:rFonts w:ascii="Arial" w:eastAsia="Calibri" w:hAnsi="Arial" w:cs="Arial"/>
        </w:rPr>
      </w:pPr>
      <w:r w:rsidRPr="008E6E68">
        <w:rPr>
          <w:rFonts w:ascii="Arial" w:eastAsia="Calibri" w:hAnsi="Arial" w:cs="Arial"/>
        </w:rPr>
        <w:t xml:space="preserve">Community hubs, libraries, and social care teams should be leveraged as accessible referral points, supported by user-friendly directories and clear communication channels. </w:t>
      </w:r>
    </w:p>
    <w:p w14:paraId="03B6A0F1" w14:textId="6C67F3B7" w:rsidR="008E6E68" w:rsidRPr="008E6E68" w:rsidRDefault="008E6E68" w:rsidP="008E6E68">
      <w:pPr>
        <w:pStyle w:val="ListParagraph"/>
        <w:spacing w:after="0" w:line="360" w:lineRule="auto"/>
        <w:rPr>
          <w:rFonts w:ascii="Arial" w:eastAsia="Calibri" w:hAnsi="Arial" w:cs="Arial"/>
        </w:rPr>
      </w:pPr>
      <w:r w:rsidRPr="008E6E68">
        <w:rPr>
          <w:rFonts w:ascii="Arial" w:eastAsia="Calibri" w:hAnsi="Arial" w:cs="Arial"/>
        </w:rPr>
        <w:t>Partnerships should aim for sustainability through ring-fenced funding, a</w:t>
      </w:r>
      <w:r w:rsidRPr="008E6E68">
        <w:rPr>
          <w:rFonts w:ascii="Arial" w:eastAsia="Calibri" w:hAnsi="Arial" w:cs="Arial"/>
          <w:b/>
          <w:bCs/>
        </w:rPr>
        <w:t xml:space="preserve"> </w:t>
      </w:r>
      <w:r w:rsidRPr="008E6E68">
        <w:rPr>
          <w:rFonts w:ascii="Arial" w:eastAsia="Calibri" w:hAnsi="Arial" w:cs="Arial"/>
        </w:rPr>
        <w:t>named organisational lead, and embedded monitoring using enhanced SSNAP/Right Care data, ensuring coordination, visibility of services, and long-term impact.</w:t>
      </w:r>
    </w:p>
    <w:p w14:paraId="7CA50338" w14:textId="13E868B1" w:rsidR="00BE07A7" w:rsidRPr="001A1539" w:rsidRDefault="00BE07A7" w:rsidP="001A1539">
      <w:pPr>
        <w:spacing w:after="0" w:line="360" w:lineRule="auto"/>
        <w:rPr>
          <w:rFonts w:ascii="Arial" w:eastAsia="Calibri" w:hAnsi="Arial" w:cs="Arial"/>
        </w:rPr>
      </w:pPr>
    </w:p>
    <w:sectPr w:rsidR="00BE07A7" w:rsidRPr="001A1539" w:rsidSect="007540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FB88" w14:textId="77777777" w:rsidR="00435ABC" w:rsidRDefault="00435ABC" w:rsidP="00583467">
      <w:pPr>
        <w:spacing w:after="0" w:line="240" w:lineRule="auto"/>
      </w:pPr>
      <w:r>
        <w:separator/>
      </w:r>
    </w:p>
  </w:endnote>
  <w:endnote w:type="continuationSeparator" w:id="0">
    <w:p w14:paraId="2F350D0A" w14:textId="77777777" w:rsidR="00435ABC" w:rsidRDefault="00435ABC" w:rsidP="00583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69AA" w14:textId="77777777" w:rsidR="00435ABC" w:rsidRDefault="00435ABC" w:rsidP="00583467">
      <w:pPr>
        <w:spacing w:after="0" w:line="240" w:lineRule="auto"/>
      </w:pPr>
      <w:r>
        <w:separator/>
      </w:r>
    </w:p>
  </w:footnote>
  <w:footnote w:type="continuationSeparator" w:id="0">
    <w:p w14:paraId="7511ED7F" w14:textId="77777777" w:rsidR="00435ABC" w:rsidRDefault="00435ABC" w:rsidP="00583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E0C1" w14:textId="60CAE137" w:rsidR="00583467" w:rsidRDefault="001742E5" w:rsidP="001742E5">
    <w:pPr>
      <w:pStyle w:val="Header"/>
      <w:jc w:val="center"/>
    </w:pPr>
    <w:r>
      <w:rPr>
        <w:noProof/>
      </w:rPr>
      <w:drawing>
        <wp:anchor distT="0" distB="0" distL="114300" distR="114300" simplePos="0" relativeHeight="251657216" behindDoc="0" locked="0" layoutInCell="1" allowOverlap="1" wp14:anchorId="08183DBB" wp14:editId="4C578178">
          <wp:simplePos x="0" y="0"/>
          <wp:positionH relativeFrom="margin">
            <wp:posOffset>3448050</wp:posOffset>
          </wp:positionH>
          <wp:positionV relativeFrom="margin">
            <wp:posOffset>-753745</wp:posOffset>
          </wp:positionV>
          <wp:extent cx="1649095" cy="577850"/>
          <wp:effectExtent l="0" t="0" r="8255" b="0"/>
          <wp:wrapSquare wrapText="bothSides"/>
          <wp:docPr id="2062654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54829" name="Picture 2062654829"/>
                  <pic:cNvPicPr/>
                </pic:nvPicPr>
                <pic:blipFill>
                  <a:blip r:embed="rId1">
                    <a:extLst>
                      <a:ext uri="{28A0092B-C50C-407E-A947-70E740481C1C}">
                        <a14:useLocalDpi xmlns:a14="http://schemas.microsoft.com/office/drawing/2010/main" val="0"/>
                      </a:ext>
                    </a:extLst>
                  </a:blip>
                  <a:stretch>
                    <a:fillRect/>
                  </a:stretch>
                </pic:blipFill>
                <pic:spPr>
                  <a:xfrm>
                    <a:off x="0" y="0"/>
                    <a:ext cx="1649095" cy="577850"/>
                  </a:xfrm>
                  <a:prstGeom prst="rect">
                    <a:avLst/>
                  </a:prstGeom>
                </pic:spPr>
              </pic:pic>
            </a:graphicData>
          </a:graphic>
          <wp14:sizeRelH relativeFrom="margin">
            <wp14:pctWidth>0</wp14:pctWidth>
          </wp14:sizeRelH>
          <wp14:sizeRelV relativeFrom="margin">
            <wp14:pctHeight>0</wp14:pctHeight>
          </wp14:sizeRelV>
        </wp:anchor>
      </w:drawing>
    </w:r>
    <w:sdt>
      <w:sdtPr>
        <w:id w:val="-1216122116"/>
        <w:docPartObj>
          <w:docPartGallery w:val="Watermarks"/>
          <w:docPartUnique/>
        </w:docPartObj>
      </w:sdtPr>
      <w:sdtContent>
        <w:r w:rsidR="00000000">
          <w:rPr>
            <w:noProof/>
          </w:rPr>
          <w:pict w14:anchorId="125BF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1742E5">
      <w:rPr>
        <w:noProof/>
      </w:rPr>
      <w:drawing>
        <wp:inline distT="0" distB="0" distL="0" distR="0" wp14:anchorId="69A3B34D" wp14:editId="482282CA">
          <wp:extent cx="1269037" cy="753332"/>
          <wp:effectExtent l="0" t="0" r="7620" b="8890"/>
          <wp:docPr id="7" name="Graphic 6">
            <a:extLst xmlns:a="http://schemas.openxmlformats.org/drawingml/2006/main">
              <a:ext uri="{FF2B5EF4-FFF2-40B4-BE49-F238E27FC236}">
                <a16:creationId xmlns:a16="http://schemas.microsoft.com/office/drawing/2014/main" id="{96F6F83D-7766-7208-36C0-19319440DB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96F6F83D-7766-7208-36C0-19319440DB00}"/>
                      </a:ext>
                    </a:extLst>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1269037" cy="7533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0C50"/>
    <w:multiLevelType w:val="hybridMultilevel"/>
    <w:tmpl w:val="1BFAB8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F7A1C"/>
    <w:multiLevelType w:val="hybridMultilevel"/>
    <w:tmpl w:val="CF6871B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87363F"/>
    <w:multiLevelType w:val="hybridMultilevel"/>
    <w:tmpl w:val="A4584B0C"/>
    <w:lvl w:ilvl="0" w:tplc="746E37DC">
      <w:start w:val="1"/>
      <w:numFmt w:val="bullet"/>
      <w:lvlText w:val="•"/>
      <w:lvlJc w:val="left"/>
      <w:pPr>
        <w:tabs>
          <w:tab w:val="num" w:pos="720"/>
        </w:tabs>
        <w:ind w:left="720" w:hanging="360"/>
      </w:pPr>
      <w:rPr>
        <w:rFonts w:ascii="Times New Roman" w:hAnsi="Times New Roman" w:hint="default"/>
      </w:rPr>
    </w:lvl>
    <w:lvl w:ilvl="1" w:tplc="4748EBB0" w:tentative="1">
      <w:start w:val="1"/>
      <w:numFmt w:val="bullet"/>
      <w:lvlText w:val="•"/>
      <w:lvlJc w:val="left"/>
      <w:pPr>
        <w:tabs>
          <w:tab w:val="num" w:pos="1440"/>
        </w:tabs>
        <w:ind w:left="1440" w:hanging="360"/>
      </w:pPr>
      <w:rPr>
        <w:rFonts w:ascii="Times New Roman" w:hAnsi="Times New Roman" w:hint="default"/>
      </w:rPr>
    </w:lvl>
    <w:lvl w:ilvl="2" w:tplc="534631B6" w:tentative="1">
      <w:start w:val="1"/>
      <w:numFmt w:val="bullet"/>
      <w:lvlText w:val="•"/>
      <w:lvlJc w:val="left"/>
      <w:pPr>
        <w:tabs>
          <w:tab w:val="num" w:pos="2160"/>
        </w:tabs>
        <w:ind w:left="2160" w:hanging="360"/>
      </w:pPr>
      <w:rPr>
        <w:rFonts w:ascii="Times New Roman" w:hAnsi="Times New Roman" w:hint="default"/>
      </w:rPr>
    </w:lvl>
    <w:lvl w:ilvl="3" w:tplc="7508498E" w:tentative="1">
      <w:start w:val="1"/>
      <w:numFmt w:val="bullet"/>
      <w:lvlText w:val="•"/>
      <w:lvlJc w:val="left"/>
      <w:pPr>
        <w:tabs>
          <w:tab w:val="num" w:pos="2880"/>
        </w:tabs>
        <w:ind w:left="2880" w:hanging="360"/>
      </w:pPr>
      <w:rPr>
        <w:rFonts w:ascii="Times New Roman" w:hAnsi="Times New Roman" w:hint="default"/>
      </w:rPr>
    </w:lvl>
    <w:lvl w:ilvl="4" w:tplc="38E6634A" w:tentative="1">
      <w:start w:val="1"/>
      <w:numFmt w:val="bullet"/>
      <w:lvlText w:val="•"/>
      <w:lvlJc w:val="left"/>
      <w:pPr>
        <w:tabs>
          <w:tab w:val="num" w:pos="3600"/>
        </w:tabs>
        <w:ind w:left="3600" w:hanging="360"/>
      </w:pPr>
      <w:rPr>
        <w:rFonts w:ascii="Times New Roman" w:hAnsi="Times New Roman" w:hint="default"/>
      </w:rPr>
    </w:lvl>
    <w:lvl w:ilvl="5" w:tplc="A00A218A" w:tentative="1">
      <w:start w:val="1"/>
      <w:numFmt w:val="bullet"/>
      <w:lvlText w:val="•"/>
      <w:lvlJc w:val="left"/>
      <w:pPr>
        <w:tabs>
          <w:tab w:val="num" w:pos="4320"/>
        </w:tabs>
        <w:ind w:left="4320" w:hanging="360"/>
      </w:pPr>
      <w:rPr>
        <w:rFonts w:ascii="Times New Roman" w:hAnsi="Times New Roman" w:hint="default"/>
      </w:rPr>
    </w:lvl>
    <w:lvl w:ilvl="6" w:tplc="118C7FFA" w:tentative="1">
      <w:start w:val="1"/>
      <w:numFmt w:val="bullet"/>
      <w:lvlText w:val="•"/>
      <w:lvlJc w:val="left"/>
      <w:pPr>
        <w:tabs>
          <w:tab w:val="num" w:pos="5040"/>
        </w:tabs>
        <w:ind w:left="5040" w:hanging="360"/>
      </w:pPr>
      <w:rPr>
        <w:rFonts w:ascii="Times New Roman" w:hAnsi="Times New Roman" w:hint="default"/>
      </w:rPr>
    </w:lvl>
    <w:lvl w:ilvl="7" w:tplc="297E2C00" w:tentative="1">
      <w:start w:val="1"/>
      <w:numFmt w:val="bullet"/>
      <w:lvlText w:val="•"/>
      <w:lvlJc w:val="left"/>
      <w:pPr>
        <w:tabs>
          <w:tab w:val="num" w:pos="5760"/>
        </w:tabs>
        <w:ind w:left="5760" w:hanging="360"/>
      </w:pPr>
      <w:rPr>
        <w:rFonts w:ascii="Times New Roman" w:hAnsi="Times New Roman" w:hint="default"/>
      </w:rPr>
    </w:lvl>
    <w:lvl w:ilvl="8" w:tplc="634E2E28" w:tentative="1">
      <w:start w:val="1"/>
      <w:numFmt w:val="bullet"/>
      <w:lvlText w:val="•"/>
      <w:lvlJc w:val="left"/>
      <w:pPr>
        <w:tabs>
          <w:tab w:val="num" w:pos="6480"/>
        </w:tabs>
        <w:ind w:left="6480" w:hanging="360"/>
      </w:pPr>
      <w:rPr>
        <w:rFonts w:ascii="Times New Roman" w:hAnsi="Times New Roman" w:hint="default"/>
      </w:rPr>
    </w:lvl>
  </w:abstractNum>
  <w:num w:numId="1" w16cid:durableId="1384677234">
    <w:abstractNumId w:val="1"/>
  </w:num>
  <w:num w:numId="2" w16cid:durableId="1390348872">
    <w:abstractNumId w:val="0"/>
  </w:num>
  <w:num w:numId="3" w16cid:durableId="370035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Q0tjQwMgRBY1NjJR2l4NTi4sz8PJACo1oAj5gZcSwAAAA="/>
  </w:docVars>
  <w:rsids>
    <w:rsidRoot w:val="00583467"/>
    <w:rsid w:val="00074039"/>
    <w:rsid w:val="000A2008"/>
    <w:rsid w:val="00106EA7"/>
    <w:rsid w:val="001269EB"/>
    <w:rsid w:val="00164A91"/>
    <w:rsid w:val="001742E5"/>
    <w:rsid w:val="001A1539"/>
    <w:rsid w:val="00263F9F"/>
    <w:rsid w:val="002A0128"/>
    <w:rsid w:val="002C7C58"/>
    <w:rsid w:val="00414A8E"/>
    <w:rsid w:val="00435ABC"/>
    <w:rsid w:val="00456904"/>
    <w:rsid w:val="004E3CEB"/>
    <w:rsid w:val="0052332B"/>
    <w:rsid w:val="00577249"/>
    <w:rsid w:val="00583467"/>
    <w:rsid w:val="00642519"/>
    <w:rsid w:val="00682039"/>
    <w:rsid w:val="006D46D3"/>
    <w:rsid w:val="0070790C"/>
    <w:rsid w:val="007211E8"/>
    <w:rsid w:val="00754046"/>
    <w:rsid w:val="0080142F"/>
    <w:rsid w:val="008152F3"/>
    <w:rsid w:val="0081593F"/>
    <w:rsid w:val="008807C4"/>
    <w:rsid w:val="008A1CA4"/>
    <w:rsid w:val="008A7641"/>
    <w:rsid w:val="008E6E68"/>
    <w:rsid w:val="00910DAB"/>
    <w:rsid w:val="00913BC7"/>
    <w:rsid w:val="0097752B"/>
    <w:rsid w:val="009C273E"/>
    <w:rsid w:val="00A043A2"/>
    <w:rsid w:val="00A82DF0"/>
    <w:rsid w:val="00BB605C"/>
    <w:rsid w:val="00BD0D1E"/>
    <w:rsid w:val="00BE07A7"/>
    <w:rsid w:val="00BF4D5C"/>
    <w:rsid w:val="00C1707A"/>
    <w:rsid w:val="00D0375F"/>
    <w:rsid w:val="00D6483B"/>
    <w:rsid w:val="00DE0475"/>
    <w:rsid w:val="00DE7B13"/>
    <w:rsid w:val="00E00449"/>
    <w:rsid w:val="00E13288"/>
    <w:rsid w:val="00EA569C"/>
    <w:rsid w:val="00EE3A34"/>
    <w:rsid w:val="00F11DAC"/>
    <w:rsid w:val="00F469EA"/>
    <w:rsid w:val="00F9204B"/>
    <w:rsid w:val="00FF6BE0"/>
    <w:rsid w:val="0728D099"/>
    <w:rsid w:val="0F6A3BD6"/>
    <w:rsid w:val="17DF6B61"/>
    <w:rsid w:val="2ABFCC55"/>
    <w:rsid w:val="30F413C1"/>
    <w:rsid w:val="34220E48"/>
    <w:rsid w:val="39EC0FB9"/>
    <w:rsid w:val="3F8674E4"/>
    <w:rsid w:val="571B3021"/>
    <w:rsid w:val="5F9EB974"/>
    <w:rsid w:val="6F630C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3C83"/>
  <w15:chartTrackingRefBased/>
  <w15:docId w15:val="{757C3CB7-9329-4BBE-B4B3-15B533C4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4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834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8346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8346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8346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83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46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834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8346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8346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8346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83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467"/>
    <w:rPr>
      <w:rFonts w:eastAsiaTheme="majorEastAsia" w:cstheme="majorBidi"/>
      <w:color w:val="272727" w:themeColor="text1" w:themeTint="D8"/>
    </w:rPr>
  </w:style>
  <w:style w:type="paragraph" w:styleId="Title">
    <w:name w:val="Title"/>
    <w:basedOn w:val="Normal"/>
    <w:next w:val="Normal"/>
    <w:link w:val="TitleChar"/>
    <w:uiPriority w:val="10"/>
    <w:qFormat/>
    <w:rsid w:val="00583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4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4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3467"/>
    <w:rPr>
      <w:i/>
      <w:iCs/>
      <w:color w:val="404040" w:themeColor="text1" w:themeTint="BF"/>
    </w:rPr>
  </w:style>
  <w:style w:type="paragraph" w:styleId="ListParagraph">
    <w:name w:val="List Paragraph"/>
    <w:basedOn w:val="Normal"/>
    <w:uiPriority w:val="34"/>
    <w:qFormat/>
    <w:rsid w:val="00583467"/>
    <w:pPr>
      <w:ind w:left="720"/>
      <w:contextualSpacing/>
    </w:pPr>
  </w:style>
  <w:style w:type="character" w:styleId="IntenseEmphasis">
    <w:name w:val="Intense Emphasis"/>
    <w:basedOn w:val="DefaultParagraphFont"/>
    <w:uiPriority w:val="21"/>
    <w:qFormat/>
    <w:rsid w:val="00583467"/>
    <w:rPr>
      <w:i/>
      <w:iCs/>
      <w:color w:val="365F91" w:themeColor="accent1" w:themeShade="BF"/>
    </w:rPr>
  </w:style>
  <w:style w:type="paragraph" w:styleId="IntenseQuote">
    <w:name w:val="Intense Quote"/>
    <w:basedOn w:val="Normal"/>
    <w:next w:val="Normal"/>
    <w:link w:val="IntenseQuoteChar"/>
    <w:uiPriority w:val="30"/>
    <w:qFormat/>
    <w:rsid w:val="005834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83467"/>
    <w:rPr>
      <w:i/>
      <w:iCs/>
      <w:color w:val="365F91" w:themeColor="accent1" w:themeShade="BF"/>
    </w:rPr>
  </w:style>
  <w:style w:type="character" w:styleId="IntenseReference">
    <w:name w:val="Intense Reference"/>
    <w:basedOn w:val="DefaultParagraphFont"/>
    <w:uiPriority w:val="32"/>
    <w:qFormat/>
    <w:rsid w:val="00583467"/>
    <w:rPr>
      <w:b/>
      <w:bCs/>
      <w:smallCaps/>
      <w:color w:val="365F91" w:themeColor="accent1" w:themeShade="BF"/>
      <w:spacing w:val="5"/>
    </w:rPr>
  </w:style>
  <w:style w:type="paragraph" w:styleId="Header">
    <w:name w:val="header"/>
    <w:basedOn w:val="Normal"/>
    <w:link w:val="HeaderChar"/>
    <w:uiPriority w:val="99"/>
    <w:unhideWhenUsed/>
    <w:rsid w:val="005834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467"/>
  </w:style>
  <w:style w:type="paragraph" w:styleId="Footer">
    <w:name w:val="footer"/>
    <w:basedOn w:val="Normal"/>
    <w:link w:val="FooterChar"/>
    <w:uiPriority w:val="99"/>
    <w:unhideWhenUsed/>
    <w:rsid w:val="005834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467"/>
  </w:style>
  <w:style w:type="character" w:styleId="CommentReference">
    <w:name w:val="annotation reference"/>
    <w:basedOn w:val="DefaultParagraphFont"/>
    <w:uiPriority w:val="99"/>
    <w:semiHidden/>
    <w:unhideWhenUsed/>
    <w:rsid w:val="00754046"/>
    <w:rPr>
      <w:sz w:val="16"/>
      <w:szCs w:val="16"/>
    </w:rPr>
  </w:style>
  <w:style w:type="paragraph" w:styleId="CommentText">
    <w:name w:val="annotation text"/>
    <w:basedOn w:val="Normal"/>
    <w:link w:val="CommentTextChar"/>
    <w:uiPriority w:val="99"/>
    <w:unhideWhenUsed/>
    <w:rsid w:val="00754046"/>
    <w:pPr>
      <w:spacing w:line="240" w:lineRule="auto"/>
    </w:pPr>
    <w:rPr>
      <w:sz w:val="20"/>
      <w:szCs w:val="20"/>
    </w:rPr>
  </w:style>
  <w:style w:type="character" w:customStyle="1" w:styleId="CommentTextChar">
    <w:name w:val="Comment Text Char"/>
    <w:basedOn w:val="DefaultParagraphFont"/>
    <w:link w:val="CommentText"/>
    <w:uiPriority w:val="99"/>
    <w:rsid w:val="00754046"/>
    <w:rPr>
      <w:sz w:val="20"/>
      <w:szCs w:val="20"/>
    </w:rPr>
  </w:style>
  <w:style w:type="paragraph" w:styleId="CommentSubject">
    <w:name w:val="annotation subject"/>
    <w:basedOn w:val="CommentText"/>
    <w:next w:val="CommentText"/>
    <w:link w:val="CommentSubjectChar"/>
    <w:uiPriority w:val="99"/>
    <w:semiHidden/>
    <w:unhideWhenUsed/>
    <w:rsid w:val="00754046"/>
    <w:rPr>
      <w:b/>
      <w:bCs/>
    </w:rPr>
  </w:style>
  <w:style w:type="character" w:customStyle="1" w:styleId="CommentSubjectChar">
    <w:name w:val="Comment Subject Char"/>
    <w:basedOn w:val="CommentTextChar"/>
    <w:link w:val="CommentSubject"/>
    <w:uiPriority w:val="99"/>
    <w:semiHidden/>
    <w:rsid w:val="00754046"/>
    <w:rPr>
      <w:b/>
      <w:bCs/>
      <w:sz w:val="20"/>
      <w:szCs w:val="20"/>
    </w:rPr>
  </w:style>
  <w:style w:type="paragraph" w:styleId="Revision">
    <w:name w:val="Revision"/>
    <w:hidden/>
    <w:uiPriority w:val="99"/>
    <w:semiHidden/>
    <w:rsid w:val="00BB605C"/>
    <w:pPr>
      <w:spacing w:after="0" w:line="240" w:lineRule="auto"/>
    </w:pPr>
  </w:style>
  <w:style w:type="paragraph" w:styleId="NormalWeb">
    <w:name w:val="Normal (Web)"/>
    <w:basedOn w:val="Normal"/>
    <w:uiPriority w:val="99"/>
    <w:semiHidden/>
    <w:unhideWhenUsed/>
    <w:rsid w:val="008E6E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E6E68"/>
    <w:rPr>
      <w:b/>
      <w:bCs/>
    </w:rPr>
  </w:style>
  <w:style w:type="character" w:styleId="Emphasis">
    <w:name w:val="Emphasis"/>
    <w:basedOn w:val="DefaultParagraphFont"/>
    <w:uiPriority w:val="20"/>
    <w:qFormat/>
    <w:rsid w:val="008E6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8241">
      <w:bodyDiv w:val="1"/>
      <w:marLeft w:val="0"/>
      <w:marRight w:val="0"/>
      <w:marTop w:val="0"/>
      <w:marBottom w:val="0"/>
      <w:divBdr>
        <w:top w:val="none" w:sz="0" w:space="0" w:color="auto"/>
        <w:left w:val="none" w:sz="0" w:space="0" w:color="auto"/>
        <w:bottom w:val="none" w:sz="0" w:space="0" w:color="auto"/>
        <w:right w:val="none" w:sz="0" w:space="0" w:color="auto"/>
      </w:divBdr>
      <w:divsChild>
        <w:div w:id="1410931554">
          <w:marLeft w:val="547"/>
          <w:marRight w:val="0"/>
          <w:marTop w:val="0"/>
          <w:marBottom w:val="0"/>
          <w:divBdr>
            <w:top w:val="none" w:sz="0" w:space="0" w:color="auto"/>
            <w:left w:val="none" w:sz="0" w:space="0" w:color="auto"/>
            <w:bottom w:val="none" w:sz="0" w:space="0" w:color="auto"/>
            <w:right w:val="none" w:sz="0" w:space="0" w:color="auto"/>
          </w:divBdr>
        </w:div>
      </w:divsChild>
    </w:div>
    <w:div w:id="697851678">
      <w:bodyDiv w:val="1"/>
      <w:marLeft w:val="0"/>
      <w:marRight w:val="0"/>
      <w:marTop w:val="0"/>
      <w:marBottom w:val="0"/>
      <w:divBdr>
        <w:top w:val="none" w:sz="0" w:space="0" w:color="auto"/>
        <w:left w:val="none" w:sz="0" w:space="0" w:color="auto"/>
        <w:bottom w:val="none" w:sz="0" w:space="0" w:color="auto"/>
        <w:right w:val="none" w:sz="0" w:space="0" w:color="auto"/>
      </w:divBdr>
    </w:div>
    <w:div w:id="1114328850">
      <w:bodyDiv w:val="1"/>
      <w:marLeft w:val="0"/>
      <w:marRight w:val="0"/>
      <w:marTop w:val="0"/>
      <w:marBottom w:val="0"/>
      <w:divBdr>
        <w:top w:val="none" w:sz="0" w:space="0" w:color="auto"/>
        <w:left w:val="none" w:sz="0" w:space="0" w:color="auto"/>
        <w:bottom w:val="none" w:sz="0" w:space="0" w:color="auto"/>
        <w:right w:val="none" w:sz="0" w:space="0" w:color="auto"/>
      </w:divBdr>
    </w:div>
    <w:div w:id="162083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1469</Words>
  <Characters>8376</Characters>
  <Application>Microsoft Office Word</Application>
  <DocSecurity>0</DocSecurity>
  <Lines>69</Lines>
  <Paragraphs>19</Paragraphs>
  <ScaleCrop>false</ScaleCrop>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Chadd, Katie</dc:creator>
  <cp:keywords/>
  <dc:description/>
  <cp:lastModifiedBy>Majdzadeh, Reza</cp:lastModifiedBy>
  <cp:revision>27</cp:revision>
  <dcterms:created xsi:type="dcterms:W3CDTF">2025-07-22T08:39:00Z</dcterms:created>
  <dcterms:modified xsi:type="dcterms:W3CDTF">2025-10-12T14:52:00Z</dcterms:modified>
</cp:coreProperties>
</file>