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B9" w:rsidRDefault="00E62EB9" w:rsidP="00E62EB9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76C0B3D0" wp14:editId="59BF2B58">
            <wp:extent cx="1543050" cy="800100"/>
            <wp:effectExtent l="0" t="0" r="0" b="0"/>
            <wp:docPr id="2" name="Picture 2" descr="C:\Users\ecrix\AppData\Local\Microsoft\Windows\Temporary Internet Files\Content.Outlook\Y7ZYXON4\ARIES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rix\AppData\Local\Microsoft\Windows\Temporary Internet Files\Content.Outlook\Y7ZYXON4\ARIES squa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C3" w:rsidRPr="007C2BC3" w:rsidRDefault="007C2BC3" w:rsidP="007C2BC3">
      <w:pPr>
        <w:jc w:val="center"/>
        <w:rPr>
          <w:rFonts w:ascii="Arial" w:hAnsi="Arial" w:cs="Arial"/>
          <w:b/>
          <w:sz w:val="28"/>
          <w:szCs w:val="28"/>
        </w:rPr>
      </w:pPr>
      <w:r w:rsidRPr="007C2BC3">
        <w:rPr>
          <w:rFonts w:ascii="Arial" w:hAnsi="Arial" w:cs="Arial"/>
          <w:b/>
          <w:sz w:val="28"/>
          <w:szCs w:val="28"/>
        </w:rPr>
        <w:t xml:space="preserve">Fate, transformation and effect of </w:t>
      </w:r>
      <w:proofErr w:type="spellStart"/>
      <w:r w:rsidRPr="007C2BC3">
        <w:rPr>
          <w:rFonts w:ascii="Arial" w:hAnsi="Arial" w:cs="Arial"/>
          <w:b/>
          <w:sz w:val="28"/>
          <w:szCs w:val="28"/>
        </w:rPr>
        <w:t>microplastics</w:t>
      </w:r>
      <w:proofErr w:type="spellEnd"/>
      <w:r w:rsidRPr="007C2BC3">
        <w:rPr>
          <w:rFonts w:ascii="Arial" w:hAnsi="Arial" w:cs="Arial"/>
          <w:b/>
          <w:sz w:val="28"/>
          <w:szCs w:val="28"/>
        </w:rPr>
        <w:t xml:space="preserve"> on microbial communities in the environment</w:t>
      </w:r>
    </w:p>
    <w:p w:rsidR="007C2BC3" w:rsidRPr="00121DEE" w:rsidRDefault="007C2BC3" w:rsidP="007C2BC3">
      <w:pPr>
        <w:pStyle w:val="NoSpacing"/>
        <w:rPr>
          <w:rFonts w:ascii="Arial" w:hAnsi="Arial" w:cs="Arial"/>
          <w:b/>
          <w:u w:val="single"/>
        </w:rPr>
      </w:pPr>
      <w:r w:rsidRPr="00E712BD">
        <w:rPr>
          <w:rFonts w:ascii="Arial" w:hAnsi="Arial" w:cs="Arial"/>
          <w:b/>
          <w:u w:val="single"/>
        </w:rPr>
        <w:t>Supervisory Team</w:t>
      </w:r>
    </w:p>
    <w:p w:rsidR="007C2BC3" w:rsidRPr="00E712BD" w:rsidRDefault="007C2BC3" w:rsidP="007C2BC3">
      <w:pPr>
        <w:pStyle w:val="NoSpacing"/>
        <w:rPr>
          <w:rFonts w:ascii="Arial" w:hAnsi="Arial" w:cs="Arial"/>
        </w:rPr>
      </w:pPr>
      <w:r w:rsidRPr="00E712BD">
        <w:rPr>
          <w:rFonts w:ascii="Arial" w:hAnsi="Arial" w:cs="Arial"/>
        </w:rPr>
        <w:t>Dr Corinne Whitby (</w:t>
      </w:r>
      <w:hyperlink r:id="rId10" w:history="1">
        <w:r w:rsidRPr="00E712BD">
          <w:rPr>
            <w:rStyle w:val="Hyperlink"/>
            <w:rFonts w:ascii="Arial" w:hAnsi="Arial" w:cs="Arial"/>
          </w:rPr>
          <w:t>cwhitby@essex.ac.uk</w:t>
        </w:r>
      </w:hyperlink>
      <w:r w:rsidRPr="00E712BD">
        <w:rPr>
          <w:rFonts w:ascii="Arial" w:hAnsi="Arial" w:cs="Arial"/>
        </w:rPr>
        <w:t>) - School of Biological Sciences, University of Essex</w:t>
      </w:r>
    </w:p>
    <w:p w:rsidR="007C2BC3" w:rsidRPr="00E712BD" w:rsidRDefault="007C2BC3" w:rsidP="007C2BC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 Philippe Laissue (</w:t>
      </w:r>
      <w:hyperlink r:id="rId11" w:history="1">
        <w:r w:rsidRPr="00307E49">
          <w:rPr>
            <w:rStyle w:val="Hyperlink"/>
            <w:rFonts w:ascii="Arial" w:hAnsi="Arial" w:cs="Arial"/>
          </w:rPr>
          <w:t>plaissue@essex.ac.uk</w:t>
        </w:r>
      </w:hyperlink>
      <w:r>
        <w:rPr>
          <w:rFonts w:ascii="Arial" w:hAnsi="Arial" w:cs="Arial"/>
        </w:rPr>
        <w:t xml:space="preserve">) – </w:t>
      </w:r>
      <w:r w:rsidRPr="00E712BD">
        <w:rPr>
          <w:rFonts w:ascii="Arial" w:hAnsi="Arial" w:cs="Arial"/>
        </w:rPr>
        <w:t>School of Biological Sciences, University of Essex</w:t>
      </w:r>
    </w:p>
    <w:p w:rsidR="007C2BC3" w:rsidRPr="00121DEE" w:rsidRDefault="007C2BC3" w:rsidP="007C2BC3">
      <w:pPr>
        <w:pStyle w:val="NoSpacing"/>
        <w:rPr>
          <w:rFonts w:ascii="Arial" w:hAnsi="Arial" w:cs="Arial"/>
        </w:rPr>
      </w:pPr>
      <w:r w:rsidRPr="00121DEE">
        <w:rPr>
          <w:rFonts w:ascii="Arial" w:hAnsi="Arial" w:cs="Arial"/>
        </w:rPr>
        <w:t>Prof Richard Thompson (</w:t>
      </w:r>
      <w:hyperlink r:id="rId12" w:history="1">
        <w:r w:rsidRPr="00121DEE">
          <w:rPr>
            <w:rStyle w:val="Hyperlink"/>
            <w:rFonts w:ascii="Arial" w:hAnsi="Arial" w:cs="Arial"/>
          </w:rPr>
          <w:t>R.C.Thompson@plymouth.ac.uk</w:t>
        </w:r>
      </w:hyperlink>
      <w:r w:rsidRPr="00121DE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–</w:t>
      </w:r>
      <w:r w:rsidRPr="00121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University of Plymouth</w:t>
      </w:r>
    </w:p>
    <w:p w:rsidR="007C2BC3" w:rsidRPr="00121DEE" w:rsidRDefault="007C2BC3" w:rsidP="007C2BC3">
      <w:pPr>
        <w:pStyle w:val="NoSpacing"/>
        <w:rPr>
          <w:rFonts w:ascii="Arial" w:hAnsi="Arial" w:cs="Arial"/>
        </w:rPr>
      </w:pPr>
      <w:r w:rsidRPr="00121DEE">
        <w:rPr>
          <w:rFonts w:ascii="Arial" w:hAnsi="Arial" w:cs="Arial"/>
        </w:rPr>
        <w:t>Dr Andrew Mayes (</w:t>
      </w:r>
      <w:hyperlink r:id="rId13" w:history="1">
        <w:r w:rsidRPr="00121DEE">
          <w:rPr>
            <w:rStyle w:val="Hyperlink"/>
            <w:rFonts w:ascii="Arial" w:hAnsi="Arial" w:cs="Arial"/>
          </w:rPr>
          <w:t>Andrew.Mayes@uea.ac.uk</w:t>
        </w:r>
      </w:hyperlink>
      <w:r w:rsidRPr="00121DEE">
        <w:rPr>
          <w:rFonts w:ascii="Arial" w:hAnsi="Arial" w:cs="Arial"/>
        </w:rPr>
        <w:t>) - University of East Anglia</w:t>
      </w:r>
    </w:p>
    <w:p w:rsidR="007C2BC3" w:rsidRPr="00121DEE" w:rsidRDefault="007C2BC3" w:rsidP="007C2BC3">
      <w:pPr>
        <w:pStyle w:val="NoSpacing"/>
        <w:rPr>
          <w:rFonts w:ascii="Arial" w:hAnsi="Arial" w:cs="Arial"/>
        </w:rPr>
      </w:pPr>
      <w:r w:rsidRPr="00121DEE">
        <w:rPr>
          <w:rFonts w:ascii="Arial" w:hAnsi="Arial" w:cs="Arial"/>
        </w:rPr>
        <w:t>Dr Lucinda Gilfoyle (</w:t>
      </w:r>
      <w:hyperlink r:id="rId14" w:history="1">
        <w:r w:rsidRPr="00121DEE">
          <w:rPr>
            <w:rStyle w:val="Hyperlink"/>
            <w:rFonts w:ascii="Arial" w:hAnsi="Arial" w:cs="Arial"/>
          </w:rPr>
          <w:t>lGilfoyle@anglianwater.co.uk</w:t>
        </w:r>
      </w:hyperlink>
      <w:r w:rsidRPr="00121DEE">
        <w:rPr>
          <w:rFonts w:ascii="Arial" w:hAnsi="Arial" w:cs="Arial"/>
        </w:rPr>
        <w:t>) - Anglian Water</w:t>
      </w:r>
    </w:p>
    <w:p w:rsidR="007C2BC3" w:rsidRDefault="007C2BC3" w:rsidP="007C2BC3">
      <w:pPr>
        <w:spacing w:after="0" w:line="240" w:lineRule="auto"/>
        <w:rPr>
          <w:rFonts w:ascii="Arial-BoldMT" w:hAnsi="Arial-BoldMT" w:cs="Arial-BoldMT"/>
          <w:b/>
          <w:bCs/>
        </w:rPr>
      </w:pPr>
    </w:p>
    <w:p w:rsidR="007C2BC3" w:rsidRPr="00121DEE" w:rsidRDefault="007C2BC3" w:rsidP="007C2BC3">
      <w:pPr>
        <w:pStyle w:val="NoSpacing"/>
        <w:rPr>
          <w:rFonts w:ascii="Arial" w:hAnsi="Arial" w:cs="Arial"/>
          <w:b/>
          <w:u w:val="single"/>
        </w:rPr>
      </w:pPr>
      <w:r w:rsidRPr="00121DEE">
        <w:rPr>
          <w:rFonts w:ascii="Arial" w:hAnsi="Arial" w:cs="Arial"/>
          <w:b/>
          <w:u w:val="single"/>
        </w:rPr>
        <w:t xml:space="preserve">Scientific background </w:t>
      </w:r>
    </w:p>
    <w:p w:rsidR="007C2BC3" w:rsidRPr="00121DEE" w:rsidRDefault="007C2BC3" w:rsidP="007C2BC3">
      <w:pPr>
        <w:pStyle w:val="NoSpacing"/>
        <w:rPr>
          <w:rFonts w:ascii="Arial" w:hAnsi="Arial" w:cs="Arial"/>
        </w:rPr>
      </w:pPr>
      <w:proofErr w:type="spellStart"/>
      <w:r w:rsidRPr="00121DEE">
        <w:rPr>
          <w:rFonts w:ascii="Arial" w:hAnsi="Arial" w:cs="Arial"/>
        </w:rPr>
        <w:t>Microplastics</w:t>
      </w:r>
      <w:proofErr w:type="spellEnd"/>
      <w:r w:rsidRPr="00121DEE">
        <w:rPr>
          <w:rFonts w:ascii="Arial" w:hAnsi="Arial" w:cs="Arial"/>
        </w:rPr>
        <w:t xml:space="preserve"> can enter ecosystems, where they affect microorganisms and their processes. Microbial-driven nitrogen (N) cycling is fundamental in the environment, yet little is known how </w:t>
      </w:r>
      <w:proofErr w:type="spellStart"/>
      <w:r w:rsidRPr="00121DEE">
        <w:rPr>
          <w:rFonts w:ascii="Arial" w:hAnsi="Arial" w:cs="Arial"/>
        </w:rPr>
        <w:t>microplastics</w:t>
      </w:r>
      <w:proofErr w:type="spellEnd"/>
      <w:r w:rsidRPr="00121DEE">
        <w:rPr>
          <w:rFonts w:ascii="Arial" w:hAnsi="Arial" w:cs="Arial"/>
        </w:rPr>
        <w:t xml:space="preserve"> affect these key microorganisms. </w:t>
      </w:r>
      <w:proofErr w:type="spellStart"/>
      <w:r w:rsidRPr="00121DEE">
        <w:rPr>
          <w:rFonts w:ascii="Arial" w:hAnsi="Arial" w:cs="Arial"/>
        </w:rPr>
        <w:t>Microplastics</w:t>
      </w:r>
      <w:proofErr w:type="spellEnd"/>
      <w:r w:rsidRPr="00121DEE">
        <w:rPr>
          <w:rFonts w:ascii="Arial" w:hAnsi="Arial" w:cs="Arial"/>
        </w:rPr>
        <w:t xml:space="preserve"> also occur in waste </w:t>
      </w:r>
      <w:proofErr w:type="spellStart"/>
      <w:r w:rsidRPr="00121DEE">
        <w:rPr>
          <w:rFonts w:ascii="Arial" w:hAnsi="Arial" w:cs="Arial"/>
        </w:rPr>
        <w:t>biosludges</w:t>
      </w:r>
      <w:proofErr w:type="spellEnd"/>
      <w:r w:rsidRPr="00121DEE">
        <w:rPr>
          <w:rFonts w:ascii="Arial" w:hAnsi="Arial" w:cs="Arial"/>
        </w:rPr>
        <w:t xml:space="preserve">, with potential impacts to N-removal. Furthermore, the majority of </w:t>
      </w:r>
      <w:proofErr w:type="spellStart"/>
      <w:r w:rsidRPr="00121DEE">
        <w:rPr>
          <w:rFonts w:ascii="Arial" w:hAnsi="Arial" w:cs="Arial"/>
        </w:rPr>
        <w:t>biosludges</w:t>
      </w:r>
      <w:proofErr w:type="spellEnd"/>
      <w:r w:rsidRPr="00121DEE">
        <w:rPr>
          <w:rFonts w:ascii="Arial" w:hAnsi="Arial" w:cs="Arial"/>
        </w:rPr>
        <w:t xml:space="preserve"> are used as fertilisers, where there is risk to agricultural soils. </w:t>
      </w:r>
      <w:proofErr w:type="gramStart"/>
      <w:r w:rsidRPr="00121DEE">
        <w:rPr>
          <w:rFonts w:ascii="Arial" w:hAnsi="Arial" w:cs="Arial"/>
        </w:rPr>
        <w:t xml:space="preserve">Currently, there is virtually nothing known about the fate, transformation and effects of </w:t>
      </w:r>
      <w:proofErr w:type="spellStart"/>
      <w:r w:rsidRPr="00121DEE">
        <w:rPr>
          <w:rFonts w:ascii="Arial" w:hAnsi="Arial" w:cs="Arial"/>
        </w:rPr>
        <w:t>microplastics</w:t>
      </w:r>
      <w:proofErr w:type="spellEnd"/>
      <w:r w:rsidRPr="00121DEE">
        <w:rPr>
          <w:rFonts w:ascii="Arial" w:hAnsi="Arial" w:cs="Arial"/>
        </w:rPr>
        <w:t xml:space="preserve"> on microbial communities in the environment, especially where N-cycling is important.</w:t>
      </w:r>
      <w:proofErr w:type="gramEnd"/>
      <w:r w:rsidRPr="00121DEE">
        <w:rPr>
          <w:rFonts w:ascii="Arial" w:hAnsi="Arial" w:cs="Arial"/>
        </w:rPr>
        <w:t xml:space="preserve"> </w:t>
      </w:r>
    </w:p>
    <w:p w:rsidR="007C2BC3" w:rsidRPr="00121DEE" w:rsidRDefault="007C2BC3" w:rsidP="007C2BC3">
      <w:pPr>
        <w:pStyle w:val="NoSpacing"/>
        <w:rPr>
          <w:rFonts w:ascii="Arial" w:hAnsi="Arial" w:cs="Arial"/>
        </w:rPr>
      </w:pPr>
    </w:p>
    <w:p w:rsidR="007C2BC3" w:rsidRPr="00121DEE" w:rsidRDefault="007C2BC3" w:rsidP="007C2BC3">
      <w:pPr>
        <w:pStyle w:val="NoSpacing"/>
        <w:rPr>
          <w:rFonts w:ascii="Arial" w:hAnsi="Arial" w:cs="Arial"/>
          <w:b/>
          <w:u w:val="single"/>
        </w:rPr>
      </w:pPr>
      <w:r w:rsidRPr="00121DEE">
        <w:rPr>
          <w:rFonts w:ascii="Arial" w:hAnsi="Arial" w:cs="Arial"/>
          <w:b/>
          <w:u w:val="single"/>
        </w:rPr>
        <w:t xml:space="preserve">Aims: </w:t>
      </w:r>
    </w:p>
    <w:p w:rsidR="007C2BC3" w:rsidRPr="00121DEE" w:rsidRDefault="007C2BC3" w:rsidP="007C2BC3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21DEE">
        <w:rPr>
          <w:rFonts w:ascii="Arial" w:hAnsi="Arial" w:cs="Arial"/>
        </w:rPr>
        <w:t xml:space="preserve">Characterise the effect of </w:t>
      </w:r>
      <w:proofErr w:type="spellStart"/>
      <w:r w:rsidRPr="00121DEE">
        <w:rPr>
          <w:rFonts w:ascii="Arial" w:hAnsi="Arial" w:cs="Arial"/>
        </w:rPr>
        <w:t>microplastics</w:t>
      </w:r>
      <w:proofErr w:type="spellEnd"/>
      <w:r w:rsidRPr="00121DEE">
        <w:rPr>
          <w:rFonts w:ascii="Arial" w:hAnsi="Arial" w:cs="Arial"/>
        </w:rPr>
        <w:t xml:space="preserve"> on microorganisms, specifically those involved in N-cycling.</w:t>
      </w:r>
    </w:p>
    <w:p w:rsidR="007C2BC3" w:rsidRPr="00121DEE" w:rsidRDefault="007C2BC3" w:rsidP="007C2BC3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21DEE">
        <w:rPr>
          <w:rFonts w:ascii="Arial" w:hAnsi="Arial" w:cs="Arial"/>
        </w:rPr>
        <w:t xml:space="preserve">Characterise the fate and biotransformation of </w:t>
      </w:r>
      <w:proofErr w:type="spellStart"/>
      <w:r w:rsidRPr="00121DEE">
        <w:rPr>
          <w:rFonts w:ascii="Arial" w:hAnsi="Arial" w:cs="Arial"/>
        </w:rPr>
        <w:t>microplastics</w:t>
      </w:r>
      <w:proofErr w:type="spellEnd"/>
      <w:r w:rsidRPr="00121DEE">
        <w:rPr>
          <w:rFonts w:ascii="Arial" w:hAnsi="Arial" w:cs="Arial"/>
        </w:rPr>
        <w:t xml:space="preserve"> in the environment.</w:t>
      </w:r>
    </w:p>
    <w:p w:rsidR="007C2BC3" w:rsidRPr="00121DEE" w:rsidRDefault="007C2BC3" w:rsidP="007C2BC3">
      <w:pPr>
        <w:pStyle w:val="NoSpacing"/>
        <w:rPr>
          <w:rFonts w:ascii="Arial" w:hAnsi="Arial" w:cs="Arial"/>
        </w:rPr>
      </w:pPr>
    </w:p>
    <w:p w:rsidR="007C2BC3" w:rsidRPr="00121DEE" w:rsidRDefault="007C2BC3" w:rsidP="007C2BC3">
      <w:pPr>
        <w:pStyle w:val="NoSpacing"/>
        <w:rPr>
          <w:rFonts w:ascii="Arial" w:hAnsi="Arial" w:cs="Arial"/>
          <w:b/>
          <w:u w:val="single"/>
        </w:rPr>
      </w:pPr>
      <w:r w:rsidRPr="00121DEE">
        <w:rPr>
          <w:rFonts w:ascii="Arial" w:hAnsi="Arial" w:cs="Arial"/>
          <w:b/>
          <w:u w:val="single"/>
        </w:rPr>
        <w:t xml:space="preserve">Research Methodology </w:t>
      </w:r>
    </w:p>
    <w:p w:rsidR="007C2BC3" w:rsidRPr="00121DEE" w:rsidRDefault="007C2BC3" w:rsidP="007C2BC3">
      <w:pPr>
        <w:pStyle w:val="NoSpacing"/>
        <w:rPr>
          <w:rFonts w:ascii="Arial" w:hAnsi="Arial" w:cs="Arial"/>
        </w:rPr>
      </w:pPr>
      <w:r w:rsidRPr="00121DEE">
        <w:rPr>
          <w:rFonts w:ascii="Arial" w:hAnsi="Arial" w:cs="Arial"/>
        </w:rPr>
        <w:t xml:space="preserve">The student will conduct field sampling (sediments, </w:t>
      </w:r>
      <w:proofErr w:type="spellStart"/>
      <w:r w:rsidRPr="00121DEE">
        <w:rPr>
          <w:rFonts w:ascii="Arial" w:hAnsi="Arial" w:cs="Arial"/>
        </w:rPr>
        <w:t>biosludges</w:t>
      </w:r>
      <w:proofErr w:type="spellEnd"/>
      <w:r w:rsidRPr="00121DEE">
        <w:rPr>
          <w:rFonts w:ascii="Arial" w:hAnsi="Arial" w:cs="Arial"/>
        </w:rPr>
        <w:t xml:space="preserve">, </w:t>
      </w:r>
      <w:proofErr w:type="gramStart"/>
      <w:r w:rsidRPr="00121DEE">
        <w:rPr>
          <w:rFonts w:ascii="Arial" w:hAnsi="Arial" w:cs="Arial"/>
        </w:rPr>
        <w:t>agricultural</w:t>
      </w:r>
      <w:proofErr w:type="gramEnd"/>
      <w:r w:rsidRPr="00121DEE">
        <w:rPr>
          <w:rFonts w:ascii="Arial" w:hAnsi="Arial" w:cs="Arial"/>
        </w:rPr>
        <w:t xml:space="preserve"> soils) and apply molecular, chemical and analytical techniques to characterise the effect of </w:t>
      </w:r>
      <w:proofErr w:type="spellStart"/>
      <w:r w:rsidRPr="00121DEE">
        <w:rPr>
          <w:rFonts w:ascii="Arial" w:hAnsi="Arial" w:cs="Arial"/>
        </w:rPr>
        <w:t>microplastics</w:t>
      </w:r>
      <w:proofErr w:type="spellEnd"/>
      <w:r w:rsidRPr="00121DEE">
        <w:rPr>
          <w:rFonts w:ascii="Arial" w:hAnsi="Arial" w:cs="Arial"/>
        </w:rPr>
        <w:t xml:space="preserve"> on microbial communities and N-cycling. Manipulation experiments will also be performed to encompass seasonal/ environmental variations (e.g. temperatures, nutrient inputs). Polymer transformation will be measured by changes in size/physical appearance, and spectroscopic signatures (UEA). At Essex, microbial communities will be characterised using qPCR, amplicon sequencing targeting phylogenetic (bacteria/archaeal 16S </w:t>
      </w:r>
      <w:proofErr w:type="spellStart"/>
      <w:r w:rsidRPr="00121DEE">
        <w:rPr>
          <w:rFonts w:ascii="Arial" w:hAnsi="Arial" w:cs="Arial"/>
        </w:rPr>
        <w:t>rRNA</w:t>
      </w:r>
      <w:proofErr w:type="spellEnd"/>
      <w:r w:rsidRPr="00121DEE">
        <w:rPr>
          <w:rFonts w:ascii="Arial" w:hAnsi="Arial" w:cs="Arial"/>
        </w:rPr>
        <w:t xml:space="preserve">) and N-cycle genes (e.g. </w:t>
      </w:r>
      <w:proofErr w:type="spellStart"/>
      <w:r w:rsidRPr="00263F77">
        <w:rPr>
          <w:rFonts w:ascii="Arial" w:hAnsi="Arial" w:cs="Arial"/>
          <w:i/>
        </w:rPr>
        <w:t>amoA</w:t>
      </w:r>
      <w:proofErr w:type="spellEnd"/>
      <w:r w:rsidRPr="00121DEE">
        <w:rPr>
          <w:rFonts w:ascii="Arial" w:hAnsi="Arial" w:cs="Arial"/>
        </w:rPr>
        <w:t xml:space="preserve">, </w:t>
      </w:r>
      <w:proofErr w:type="spellStart"/>
      <w:r w:rsidRPr="00121DEE">
        <w:rPr>
          <w:rFonts w:ascii="Arial" w:hAnsi="Arial" w:cs="Arial"/>
        </w:rPr>
        <w:t>nitrifiers</w:t>
      </w:r>
      <w:proofErr w:type="spellEnd"/>
      <w:r w:rsidRPr="00121DEE">
        <w:rPr>
          <w:rFonts w:ascii="Arial" w:hAnsi="Arial" w:cs="Arial"/>
        </w:rPr>
        <w:t xml:space="preserve">; </w:t>
      </w:r>
      <w:proofErr w:type="spellStart"/>
      <w:r w:rsidRPr="00263F77">
        <w:rPr>
          <w:rFonts w:ascii="Arial" w:hAnsi="Arial" w:cs="Arial"/>
          <w:i/>
        </w:rPr>
        <w:t>nirS</w:t>
      </w:r>
      <w:proofErr w:type="spellEnd"/>
      <w:r w:rsidRPr="00121DEE">
        <w:rPr>
          <w:rFonts w:ascii="Arial" w:hAnsi="Arial" w:cs="Arial"/>
        </w:rPr>
        <w:t xml:space="preserve">, </w:t>
      </w:r>
      <w:proofErr w:type="spellStart"/>
      <w:r w:rsidRPr="00121DEE">
        <w:rPr>
          <w:rFonts w:ascii="Arial" w:hAnsi="Arial" w:cs="Arial"/>
        </w:rPr>
        <w:t>denitrifiers</w:t>
      </w:r>
      <w:proofErr w:type="spellEnd"/>
      <w:r w:rsidRPr="00121DEE">
        <w:rPr>
          <w:rFonts w:ascii="Arial" w:hAnsi="Arial" w:cs="Arial"/>
        </w:rPr>
        <w:t xml:space="preserve">) and related to potential rates (e.g. nitrification, denitrification). Fluorescence microscopy and FISH will also be performed to characterise biofilm formation and determine the spatial distribution of microorganisms on </w:t>
      </w:r>
      <w:proofErr w:type="spellStart"/>
      <w:r w:rsidRPr="00121DEE">
        <w:rPr>
          <w:rFonts w:ascii="Arial" w:hAnsi="Arial" w:cs="Arial"/>
        </w:rPr>
        <w:t>microplastics</w:t>
      </w:r>
      <w:proofErr w:type="spellEnd"/>
      <w:r w:rsidRPr="00121DEE">
        <w:rPr>
          <w:rFonts w:ascii="Arial" w:hAnsi="Arial" w:cs="Arial"/>
        </w:rPr>
        <w:t>.</w:t>
      </w:r>
    </w:p>
    <w:p w:rsidR="007C2BC3" w:rsidRPr="00121DEE" w:rsidRDefault="007C2BC3" w:rsidP="007C2BC3">
      <w:pPr>
        <w:pStyle w:val="NoSpacing"/>
        <w:rPr>
          <w:rFonts w:ascii="Arial" w:hAnsi="Arial" w:cs="Arial"/>
        </w:rPr>
      </w:pPr>
    </w:p>
    <w:p w:rsidR="007C2BC3" w:rsidRPr="00121DEE" w:rsidRDefault="007C2BC3" w:rsidP="007C2BC3">
      <w:pPr>
        <w:pStyle w:val="NoSpacing"/>
        <w:rPr>
          <w:rFonts w:ascii="Arial" w:hAnsi="Arial" w:cs="Arial"/>
          <w:b/>
          <w:u w:val="single"/>
        </w:rPr>
      </w:pPr>
      <w:r w:rsidRPr="00121DEE">
        <w:rPr>
          <w:rFonts w:ascii="Arial" w:hAnsi="Arial" w:cs="Arial"/>
          <w:b/>
          <w:u w:val="single"/>
        </w:rPr>
        <w:t xml:space="preserve">Training </w:t>
      </w:r>
    </w:p>
    <w:p w:rsidR="007C2BC3" w:rsidRPr="00121DEE" w:rsidRDefault="007C2BC3" w:rsidP="007C2BC3">
      <w:pPr>
        <w:pStyle w:val="NoSpacing"/>
        <w:rPr>
          <w:rFonts w:ascii="Arial" w:hAnsi="Arial" w:cs="Arial"/>
        </w:rPr>
      </w:pPr>
      <w:r w:rsidRPr="00121DEE">
        <w:rPr>
          <w:rFonts w:ascii="Arial" w:hAnsi="Arial" w:cs="Arial"/>
        </w:rPr>
        <w:t xml:space="preserve">The candidate will join the Ecology and Environmental Microbiology Group at Essex with further training at UEA, Plymouth and Anglian Water. Training will include fieldwork, qPCR, high throughput sequencing, </w:t>
      </w:r>
      <w:proofErr w:type="gramStart"/>
      <w:r w:rsidRPr="00121DEE">
        <w:rPr>
          <w:rFonts w:ascii="Arial" w:hAnsi="Arial" w:cs="Arial"/>
        </w:rPr>
        <w:t>bioinformatics</w:t>
      </w:r>
      <w:proofErr w:type="gramEnd"/>
      <w:r w:rsidRPr="00121DEE">
        <w:rPr>
          <w:rFonts w:ascii="Arial" w:hAnsi="Arial" w:cs="Arial"/>
        </w:rPr>
        <w:t xml:space="preserve"> to characterise microbial communities. </w:t>
      </w:r>
      <w:proofErr w:type="spellStart"/>
      <w:proofErr w:type="gramStart"/>
      <w:r w:rsidRPr="00121DEE">
        <w:rPr>
          <w:rFonts w:ascii="Arial" w:hAnsi="Arial" w:cs="Arial"/>
        </w:rPr>
        <w:t>Bioimaging</w:t>
      </w:r>
      <w:proofErr w:type="spellEnd"/>
      <w:r w:rsidRPr="00121DEE">
        <w:rPr>
          <w:rFonts w:ascii="Arial" w:hAnsi="Arial" w:cs="Arial"/>
        </w:rPr>
        <w:t xml:space="preserve"> (fluorescence/electron microscopy) to measure biofilm formation and analytical chemistry (synthesis, FT-IR spectroscopy) to quantify polymer transformation.</w:t>
      </w:r>
      <w:proofErr w:type="gramEnd"/>
      <w:r w:rsidRPr="00121DEE">
        <w:rPr>
          <w:rFonts w:ascii="Arial" w:hAnsi="Arial" w:cs="Arial"/>
        </w:rPr>
        <w:t xml:space="preserve"> The student will also spend three months at Anglian Water and gain business experience and skills in resource based management. The student will have access to training courses across institutes.</w:t>
      </w:r>
    </w:p>
    <w:p w:rsidR="007C2BC3" w:rsidRPr="00121DEE" w:rsidRDefault="007C2BC3" w:rsidP="007C2BC3">
      <w:pPr>
        <w:pStyle w:val="NoSpacing"/>
        <w:rPr>
          <w:rFonts w:ascii="Arial" w:hAnsi="Arial" w:cs="Arial"/>
        </w:rPr>
      </w:pPr>
    </w:p>
    <w:p w:rsidR="007C2BC3" w:rsidRPr="00121DEE" w:rsidRDefault="007C2BC3" w:rsidP="007C2BC3">
      <w:pPr>
        <w:pStyle w:val="NoSpacing"/>
        <w:rPr>
          <w:rFonts w:ascii="Arial" w:hAnsi="Arial" w:cs="Arial"/>
          <w:b/>
          <w:u w:val="single"/>
        </w:rPr>
      </w:pPr>
      <w:r w:rsidRPr="00121DEE">
        <w:rPr>
          <w:rFonts w:ascii="Arial" w:hAnsi="Arial" w:cs="Arial"/>
          <w:b/>
          <w:u w:val="single"/>
        </w:rPr>
        <w:lastRenderedPageBreak/>
        <w:t xml:space="preserve">Person specification </w:t>
      </w:r>
    </w:p>
    <w:p w:rsidR="007C2BC3" w:rsidRPr="00121DEE" w:rsidRDefault="007C2BC3" w:rsidP="007C2BC3">
      <w:pPr>
        <w:pStyle w:val="NoSpacing"/>
        <w:rPr>
          <w:rFonts w:ascii="Arial" w:hAnsi="Arial" w:cs="Arial"/>
        </w:rPr>
      </w:pPr>
      <w:r w:rsidRPr="00121DEE">
        <w:rPr>
          <w:rFonts w:ascii="Arial" w:hAnsi="Arial" w:cs="Arial"/>
        </w:rPr>
        <w:t xml:space="preserve">A highly motivated student with a background in Microbiology, Biochemistry, Environmental Sciences or related discipline, who is keen to learn new skills and engage with industry. The candidate will have good communication skills and be self-motivated. </w:t>
      </w:r>
      <w:proofErr w:type="gramStart"/>
      <w:r w:rsidRPr="00121DEE">
        <w:rPr>
          <w:rFonts w:ascii="Arial" w:hAnsi="Arial" w:cs="Arial"/>
        </w:rPr>
        <w:t>For scientific enquiries contact cwhitby@essex.ac.uk.</w:t>
      </w:r>
      <w:proofErr w:type="gramEnd"/>
    </w:p>
    <w:p w:rsidR="007C2BC3" w:rsidRPr="00E712BD" w:rsidRDefault="007C2BC3" w:rsidP="007C2BC3">
      <w:pPr>
        <w:pStyle w:val="NoSpacing"/>
        <w:rPr>
          <w:rFonts w:ascii="Arial" w:hAnsi="Arial" w:cs="Arial"/>
          <w:sz w:val="20"/>
          <w:szCs w:val="20"/>
        </w:rPr>
      </w:pPr>
    </w:p>
    <w:p w:rsidR="007C2BC3" w:rsidRPr="00E712BD" w:rsidRDefault="007C2BC3" w:rsidP="007C2BC3">
      <w:pPr>
        <w:pStyle w:val="NoSpacing"/>
        <w:rPr>
          <w:rFonts w:ascii="Arial" w:hAnsi="Arial" w:cs="Arial"/>
          <w:b/>
          <w:u w:val="single"/>
        </w:rPr>
      </w:pPr>
      <w:r w:rsidRPr="00E712BD">
        <w:rPr>
          <w:rFonts w:ascii="Arial" w:hAnsi="Arial" w:cs="Arial"/>
          <w:b/>
          <w:u w:val="single"/>
        </w:rPr>
        <w:t>References</w:t>
      </w:r>
    </w:p>
    <w:p w:rsidR="007C2BC3" w:rsidRDefault="007C2BC3" w:rsidP="007C2BC3">
      <w:pPr>
        <w:pStyle w:val="NoSpacing"/>
        <w:rPr>
          <w:rFonts w:ascii="Arial" w:eastAsia="Times New Roman" w:hAnsi="Arial" w:cs="Arial"/>
          <w:noProof/>
          <w:lang w:eastAsia="en-GB"/>
        </w:rPr>
      </w:pPr>
      <w:r w:rsidRPr="00121DEE">
        <w:rPr>
          <w:rFonts w:ascii="Arial" w:eastAsia="Times New Roman" w:hAnsi="Arial" w:cs="Arial"/>
          <w:noProof/>
          <w:lang w:eastAsia="en-GB"/>
        </w:rPr>
        <w:t>Johnson R, Smith BE, Sutton PA, McGenity TJ, Rowland SJ, Whitby C (2011) Microbial biodegradation of aromatic alkanoic naphthenic acids is affected by the degree of alkyl side chain branching. ISME J 5:486-496</w:t>
      </w:r>
    </w:p>
    <w:p w:rsidR="007C2BC3" w:rsidRPr="00121DEE" w:rsidRDefault="007C2BC3" w:rsidP="007C2BC3">
      <w:pPr>
        <w:pStyle w:val="NoSpacing"/>
        <w:rPr>
          <w:rFonts w:ascii="Arial" w:eastAsia="Times New Roman" w:hAnsi="Arial" w:cs="Arial"/>
          <w:noProof/>
          <w:lang w:eastAsia="en-GB"/>
        </w:rPr>
      </w:pPr>
    </w:p>
    <w:p w:rsidR="007C2BC3" w:rsidRPr="00121DEE" w:rsidRDefault="007C2BC3" w:rsidP="007C2BC3">
      <w:pPr>
        <w:pStyle w:val="NoSpacing"/>
        <w:rPr>
          <w:rFonts w:ascii="Arial" w:eastAsia="Times New Roman" w:hAnsi="Arial" w:cs="Arial"/>
          <w:noProof/>
          <w:lang w:eastAsia="en-GB"/>
        </w:rPr>
      </w:pPr>
      <w:r w:rsidRPr="00121DEE">
        <w:rPr>
          <w:rFonts w:ascii="Arial" w:eastAsia="Times New Roman" w:hAnsi="Arial" w:cs="Arial"/>
          <w:noProof/>
          <w:lang w:eastAsia="en-GB"/>
        </w:rPr>
        <w:t>Beddow J, Stolpe B, Cole PA, Lead JR, Sapp M, Lyons BP, Colbeck I, Whitby C (2017). Nanosilver inhibits nitrification and reduces ammonia-oxidizing bacterial but not archaeal amoA gene abundance in estuarine sediments. Environ Microbiol 19:500-510.</w:t>
      </w:r>
    </w:p>
    <w:p w:rsidR="007C2BC3" w:rsidRDefault="007C2BC3" w:rsidP="007C2BC3">
      <w:pPr>
        <w:pStyle w:val="NoSpacing"/>
        <w:rPr>
          <w:rFonts w:ascii="Arial" w:eastAsia="Times New Roman" w:hAnsi="Arial" w:cs="Arial"/>
          <w:noProof/>
          <w:lang w:eastAsia="en-GB"/>
        </w:rPr>
      </w:pPr>
    </w:p>
    <w:p w:rsidR="007C2BC3" w:rsidRPr="00121DEE" w:rsidRDefault="007C2BC3" w:rsidP="007C2BC3">
      <w:pPr>
        <w:pStyle w:val="NoSpacing"/>
        <w:rPr>
          <w:rFonts w:ascii="Arial" w:eastAsia="Times New Roman" w:hAnsi="Arial" w:cs="Arial"/>
          <w:noProof/>
          <w:lang w:eastAsia="en-GB"/>
        </w:rPr>
      </w:pPr>
      <w:r w:rsidRPr="00121DEE">
        <w:rPr>
          <w:rFonts w:ascii="Arial" w:eastAsia="Times New Roman" w:hAnsi="Arial" w:cs="Arial"/>
          <w:noProof/>
          <w:lang w:eastAsia="en-GB"/>
        </w:rPr>
        <w:t>Chansawang N, Geider RJ&lt; Obara B, Laissue PP (2016). Three-dimensional visulaisation and quantification of lipids in microalgae using fluorescence microscopy. Hydrocarbon and Lipid Microbiology Protocols (eds McGenityT, Timmis K, Nogales B). Springer, New York, pp 145-161.</w:t>
      </w:r>
    </w:p>
    <w:p w:rsidR="007C2BC3" w:rsidRDefault="007C2BC3" w:rsidP="007C2BC3">
      <w:pPr>
        <w:pStyle w:val="NoSpacing"/>
        <w:rPr>
          <w:rFonts w:ascii="Arial" w:eastAsia="Times New Roman" w:hAnsi="Arial" w:cs="Arial"/>
          <w:noProof/>
          <w:lang w:eastAsia="en-GB"/>
        </w:rPr>
      </w:pPr>
    </w:p>
    <w:p w:rsidR="007C2BC3" w:rsidRPr="00121DEE" w:rsidRDefault="007C2BC3" w:rsidP="007C2BC3">
      <w:pPr>
        <w:pStyle w:val="NoSpacing"/>
        <w:rPr>
          <w:rFonts w:ascii="Arial" w:eastAsia="Times New Roman" w:hAnsi="Arial" w:cs="Arial"/>
          <w:noProof/>
          <w:lang w:eastAsia="en-GB"/>
        </w:rPr>
      </w:pPr>
      <w:r w:rsidRPr="00121DEE">
        <w:rPr>
          <w:rFonts w:ascii="Arial" w:eastAsia="Times New Roman" w:hAnsi="Arial" w:cs="Arial"/>
          <w:noProof/>
          <w:lang w:eastAsia="en-GB"/>
        </w:rPr>
        <w:t>Law KL, Thompson RC (2014). Microplastics in the seas. Science 345:144-145.</w:t>
      </w:r>
    </w:p>
    <w:p w:rsidR="007C2BC3" w:rsidRDefault="007C2BC3" w:rsidP="007C2BC3">
      <w:pPr>
        <w:pStyle w:val="NoSpacing"/>
        <w:rPr>
          <w:rFonts w:ascii="Arial" w:eastAsia="Times New Roman" w:hAnsi="Arial" w:cs="Arial"/>
          <w:noProof/>
          <w:lang w:eastAsia="en-GB"/>
        </w:rPr>
      </w:pPr>
    </w:p>
    <w:p w:rsidR="007C2BC3" w:rsidRPr="00E712BD" w:rsidRDefault="007C2BC3" w:rsidP="007C2BC3">
      <w:pPr>
        <w:pStyle w:val="NoSpacing"/>
        <w:rPr>
          <w:rFonts w:ascii="Arial" w:eastAsia="Times New Roman" w:hAnsi="Arial" w:cs="Arial"/>
          <w:noProof/>
          <w:lang w:eastAsia="en-GB"/>
        </w:rPr>
      </w:pPr>
      <w:r w:rsidRPr="00121DEE">
        <w:rPr>
          <w:rFonts w:ascii="Arial" w:eastAsia="Times New Roman" w:hAnsi="Arial" w:cs="Arial"/>
          <w:noProof/>
          <w:lang w:eastAsia="en-GB"/>
        </w:rPr>
        <w:t>Maes T, Jessop R, Wellner N, Haupt K, Mayes AG (2017) A rapid-screening approach to detect and quantify microplastics based on flu</w:t>
      </w:r>
      <w:r>
        <w:rPr>
          <w:rFonts w:ascii="Arial" w:eastAsia="Times New Roman" w:hAnsi="Arial" w:cs="Arial"/>
          <w:noProof/>
          <w:lang w:eastAsia="en-GB"/>
        </w:rPr>
        <w:t xml:space="preserve">orescent tagging with Nile Red. </w:t>
      </w:r>
      <w:r w:rsidRPr="00121DEE">
        <w:rPr>
          <w:rFonts w:ascii="Arial" w:eastAsia="Times New Roman" w:hAnsi="Arial" w:cs="Arial"/>
          <w:noProof/>
          <w:lang w:eastAsia="en-GB"/>
        </w:rPr>
        <w:t>Scientific Reports 7:44501.</w:t>
      </w:r>
    </w:p>
    <w:p w:rsidR="007C2BC3" w:rsidRPr="00E712BD" w:rsidRDefault="007C2BC3" w:rsidP="007C2BC3">
      <w:pPr>
        <w:pStyle w:val="NoSpacing"/>
        <w:rPr>
          <w:rFonts w:ascii="Arial" w:hAnsi="Arial" w:cs="Arial"/>
          <w:sz w:val="20"/>
          <w:szCs w:val="20"/>
        </w:rPr>
      </w:pPr>
    </w:p>
    <w:p w:rsidR="007C2BC3" w:rsidRPr="005D0FBC" w:rsidRDefault="007C2BC3" w:rsidP="007C2BC3">
      <w:pPr>
        <w:pStyle w:val="NoSpacing"/>
        <w:rPr>
          <w:rFonts w:ascii="Arial" w:hAnsi="Arial" w:cs="Arial"/>
          <w:b/>
          <w:u w:val="single"/>
        </w:rPr>
      </w:pPr>
      <w:r w:rsidRPr="005D0FBC">
        <w:rPr>
          <w:rFonts w:ascii="Arial" w:hAnsi="Arial" w:cs="Arial"/>
          <w:b/>
          <w:u w:val="single"/>
        </w:rPr>
        <w:t>Key Information</w:t>
      </w:r>
    </w:p>
    <w:p w:rsidR="007C2BC3" w:rsidRDefault="007C2BC3" w:rsidP="007C2BC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D0FBC">
        <w:rPr>
          <w:rFonts w:ascii="Arial" w:hAnsi="Arial" w:cs="Arial"/>
        </w:rPr>
        <w:t>This project has been shortlisted for funding by the ARIES NERC Doctoral Training Partnership</w:t>
      </w:r>
      <w:r>
        <w:rPr>
          <w:rFonts w:ascii="Arial" w:hAnsi="Arial" w:cs="Arial"/>
        </w:rPr>
        <w:t xml:space="preserve"> (</w:t>
      </w:r>
      <w:hyperlink r:id="rId15" w:history="1">
        <w:r w:rsidRPr="00D460BE">
          <w:rPr>
            <w:rStyle w:val="Hyperlink"/>
            <w:rFonts w:ascii="Arial" w:hAnsi="Arial" w:cs="Arial"/>
            <w:color w:val="000000" w:themeColor="text1"/>
          </w:rPr>
          <w:t>www.aries-dtp.ac.uk</w:t>
        </w:r>
      </w:hyperlink>
      <w:r w:rsidRPr="00D460BE">
        <w:rPr>
          <w:rStyle w:val="normaltextrun"/>
          <w:rFonts w:ascii="Arial" w:hAnsi="Arial" w:cs="Arial"/>
          <w:color w:val="000000" w:themeColor="text1"/>
        </w:rPr>
        <w:t>)</w:t>
      </w:r>
      <w:r w:rsidRPr="007F5E43">
        <w:rPr>
          <w:rFonts w:ascii="Arial" w:hAnsi="Arial" w:cs="Arial"/>
        </w:rPr>
        <w:t>.</w:t>
      </w:r>
    </w:p>
    <w:p w:rsidR="007C2BC3" w:rsidRPr="00D460BE" w:rsidRDefault="007C2BC3" w:rsidP="007C2BC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E712BD">
        <w:rPr>
          <w:rFonts w:ascii="Arial" w:hAnsi="Arial" w:cs="Arial"/>
          <w:color w:val="000000" w:themeColor="text1"/>
        </w:rPr>
        <w:t xml:space="preserve">Successful candidates who meet UKRI’s eligibility criteria will be awarded a NERC studentship - in 2018/19 the stipend is £14,777. </w:t>
      </w:r>
    </w:p>
    <w:p w:rsidR="007C2BC3" w:rsidRDefault="007C2BC3" w:rsidP="007C2BC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D0FBC">
        <w:rPr>
          <w:rFonts w:ascii="Arial" w:hAnsi="Arial" w:cs="Arial"/>
        </w:rPr>
        <w:t>Undertaking a PhD with ARIES will involve attendance at training events.</w:t>
      </w:r>
    </w:p>
    <w:p w:rsidR="007C2BC3" w:rsidRDefault="007C2BC3" w:rsidP="007C2BC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D0FBC">
        <w:rPr>
          <w:rFonts w:ascii="Arial" w:hAnsi="Arial" w:cs="Arial"/>
        </w:rPr>
        <w:t>ARIES is committed to equality &amp; diversity, and inclusion of students of any and all backgrounds. All ARIES Universities have Athena Swan Bronze status as a minimum.</w:t>
      </w:r>
    </w:p>
    <w:p w:rsidR="007C2BC3" w:rsidRDefault="007C2BC3" w:rsidP="007C2BC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D0FBC">
        <w:rPr>
          <w:rFonts w:ascii="Arial" w:hAnsi="Arial" w:cs="Arial"/>
        </w:rPr>
        <w:t>Applicants from quantitative disciplines who may have limited environmental science experience may be considered for an additional 3-month stipend to take appropriate advanced-level courses.</w:t>
      </w:r>
    </w:p>
    <w:p w:rsidR="007C2BC3" w:rsidRPr="007C76D5" w:rsidRDefault="007C2BC3" w:rsidP="007C2BC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D0FBC">
        <w:rPr>
          <w:rFonts w:ascii="Arial" w:hAnsi="Arial" w:cs="Arial"/>
        </w:rPr>
        <w:t>Usually only UK and EU nationals who have been resident in the UK for 3 years are eligible for a stipend. The closing date for applications is 23:59 on 8</w:t>
      </w:r>
      <w:r w:rsidRPr="007C76D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5D0FBC">
        <w:rPr>
          <w:rFonts w:ascii="Arial" w:hAnsi="Arial" w:cs="Arial"/>
        </w:rPr>
        <w:t>January 2019. Shortlisted applicants will be interviewed on 26</w:t>
      </w:r>
      <w:r w:rsidRPr="00D460BE">
        <w:rPr>
          <w:rFonts w:ascii="Arial" w:hAnsi="Arial" w:cs="Arial"/>
          <w:vertAlign w:val="superscript"/>
        </w:rPr>
        <w:t>th</w:t>
      </w:r>
      <w:r w:rsidRPr="005D0FBC">
        <w:rPr>
          <w:rFonts w:ascii="Arial" w:hAnsi="Arial" w:cs="Arial"/>
        </w:rPr>
        <w:t>/27</w:t>
      </w:r>
      <w:r w:rsidRPr="007C76D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5D0FBC">
        <w:rPr>
          <w:rFonts w:ascii="Arial" w:hAnsi="Arial" w:cs="Arial"/>
        </w:rPr>
        <w:t>February 2019</w:t>
      </w:r>
    </w:p>
    <w:p w:rsidR="007C2BC3" w:rsidRDefault="007C2BC3" w:rsidP="007C2BC3">
      <w:pPr>
        <w:pStyle w:val="NoSpacing"/>
      </w:pPr>
    </w:p>
    <w:p w:rsidR="007C2BC3" w:rsidRDefault="007C2BC3" w:rsidP="007C2BC3">
      <w:pPr>
        <w:pStyle w:val="NoSpacing"/>
        <w:rPr>
          <w:rFonts w:ascii="Arial" w:hAnsi="Arial" w:cs="Arial"/>
          <w:b/>
          <w:u w:val="single"/>
        </w:rPr>
      </w:pPr>
      <w:r w:rsidRPr="002A05A7">
        <w:rPr>
          <w:rFonts w:ascii="Arial" w:hAnsi="Arial" w:cs="Arial"/>
          <w:b/>
          <w:u w:val="single"/>
        </w:rPr>
        <w:t>How to Apply</w:t>
      </w:r>
    </w:p>
    <w:p w:rsidR="007C2BC3" w:rsidRPr="002A05A7" w:rsidRDefault="007C2BC3" w:rsidP="007C2BC3">
      <w:pPr>
        <w:pStyle w:val="NoSpacing"/>
        <w:rPr>
          <w:rFonts w:ascii="Arial" w:hAnsi="Arial" w:cs="Arial"/>
        </w:rPr>
      </w:pPr>
      <w:r w:rsidRPr="002A05A7">
        <w:rPr>
          <w:rFonts w:ascii="Arial" w:hAnsi="Arial" w:cs="Arial"/>
        </w:rPr>
        <w:t>Please apply by sending a CV (including contact details of two academic refere</w:t>
      </w:r>
      <w:r>
        <w:rPr>
          <w:rFonts w:ascii="Arial" w:hAnsi="Arial" w:cs="Arial"/>
        </w:rPr>
        <w:t>es</w:t>
      </w:r>
      <w:r w:rsidRPr="002A05A7">
        <w:rPr>
          <w:rFonts w:ascii="Arial" w:hAnsi="Arial" w:cs="Arial"/>
        </w:rPr>
        <w:t xml:space="preserve">) and a cover letter explaining your motivation and suitability for the PhD to Emma Revill </w:t>
      </w:r>
      <w:hyperlink r:id="rId16" w:history="1">
        <w:r w:rsidRPr="00307E49">
          <w:rPr>
            <w:rStyle w:val="Hyperlink"/>
            <w:rFonts w:ascii="Arial" w:hAnsi="Arial" w:cs="Arial"/>
          </w:rPr>
          <w:t>ariesapp@essex.ac.uk</w:t>
        </w:r>
      </w:hyperlink>
      <w:r>
        <w:rPr>
          <w:rFonts w:ascii="Arial" w:hAnsi="Arial" w:cs="Arial"/>
        </w:rPr>
        <w:t xml:space="preserve"> by 8</w:t>
      </w:r>
      <w:r w:rsidRPr="005D0FB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2A05A7">
        <w:rPr>
          <w:rFonts w:ascii="Arial" w:hAnsi="Arial" w:cs="Arial"/>
        </w:rPr>
        <w:t>Jan 2019. If you have any questions please feel free to contact any member of the supervisory team.</w:t>
      </w:r>
    </w:p>
    <w:p w:rsidR="007C2BC3" w:rsidRPr="00AE291C" w:rsidRDefault="007C2BC3" w:rsidP="007C2BC3">
      <w:pPr>
        <w:rPr>
          <w:rFonts w:ascii="Arial" w:hAnsi="Arial" w:cs="Arial"/>
          <w:i/>
          <w:color w:val="000000" w:themeColor="text1"/>
        </w:rPr>
      </w:pPr>
    </w:p>
    <w:p w:rsidR="007C2BC3" w:rsidRPr="00414A8E" w:rsidRDefault="007C2BC3" w:rsidP="007C2B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00A21AD5" wp14:editId="65EC0F21">
            <wp:extent cx="2650837" cy="1765787"/>
            <wp:effectExtent l="0" t="0" r="0" b="6350"/>
            <wp:docPr id="1" name="Picture 1" descr="C:\Users\cwhitby\AppData\Local\Microsoft\Windows\Temporary Internet Files\Content.Outlook\5CW1B1Q1\Tamar microplastics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whitby\AppData\Local\Microsoft\Windows\Temporary Internet Files\Content.Outlook\5CW1B1Q1\Tamar microplastics 2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31" cy="176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221" w:rsidRPr="00C000E8" w:rsidRDefault="00071221" w:rsidP="007C2BC3">
      <w:pPr>
        <w:rPr>
          <w:rFonts w:ascii="Arial Black" w:hAnsi="Arial Black"/>
          <w:b/>
          <w:bCs/>
          <w:sz w:val="60"/>
          <w:szCs w:val="60"/>
        </w:rPr>
      </w:pPr>
      <w:r>
        <w:rPr>
          <w:rFonts w:ascii="Arial Black" w:hAnsi="Arial Black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65BA736" wp14:editId="652AAFB6">
                <wp:simplePos x="0" y="0"/>
                <wp:positionH relativeFrom="column">
                  <wp:posOffset>165099</wp:posOffset>
                </wp:positionH>
                <wp:positionV relativeFrom="paragraph">
                  <wp:posOffset>3854450</wp:posOffset>
                </wp:positionV>
                <wp:extent cx="3772535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5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21" w:rsidRPr="004E74A4" w:rsidRDefault="00071221">
                            <w:pPr>
                              <w:rPr>
                                <w:rFonts w:ascii="Arial" w:hAnsi="Arial" w:cs="Arial"/>
                                <w:color w:val="535659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pt;margin-top:303.5pt;width:297.0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" o:allowoverlap="f" filled="f" stroked="f">
                <v:textbox>
                  <w:txbxContent>
                    <w:p w:rsidR="00071221" w:rsidRPr="004E74A4" w:rsidRDefault="00071221">
                      <w:pPr>
                        <w:rPr>
                          <w:rFonts w:ascii="Arial" w:hAnsi="Arial" w:cs="Arial"/>
                          <w:color w:val="535659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71221" w:rsidRPr="00C000E8" w:rsidSect="00071221">
      <w:headerReference w:type="default" r:id="rId18"/>
      <w:pgSz w:w="11900" w:h="16840"/>
      <w:pgMar w:top="1971" w:right="830" w:bottom="244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91" w:rsidRDefault="00804991" w:rsidP="00700F9A">
      <w:r>
        <w:separator/>
      </w:r>
    </w:p>
  </w:endnote>
  <w:endnote w:type="continuationSeparator" w:id="0">
    <w:p w:rsidR="00804991" w:rsidRDefault="00804991" w:rsidP="0070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91" w:rsidRDefault="00804991" w:rsidP="00700F9A">
      <w:r>
        <w:separator/>
      </w:r>
    </w:p>
  </w:footnote>
  <w:footnote w:type="continuationSeparator" w:id="0">
    <w:p w:rsidR="00804991" w:rsidRDefault="00804991" w:rsidP="00700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9A" w:rsidRDefault="00BE46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B559A0D" wp14:editId="1E03D68B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56885" cy="10689335"/>
          <wp:effectExtent l="0" t="0" r="1270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-templates-it-servic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85" cy="1068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98B"/>
    <w:multiLevelType w:val="hybridMultilevel"/>
    <w:tmpl w:val="78B88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64CF"/>
    <w:multiLevelType w:val="hybridMultilevel"/>
    <w:tmpl w:val="38628334"/>
    <w:lvl w:ilvl="0" w:tplc="DAE871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E7D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AEF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27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14B5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AE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273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4E7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61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503E69"/>
    <w:multiLevelType w:val="hybridMultilevel"/>
    <w:tmpl w:val="E9A02C8E"/>
    <w:lvl w:ilvl="0" w:tplc="B59235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453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C3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266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F04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EA6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87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C7D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6B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C80BEC"/>
    <w:multiLevelType w:val="hybridMultilevel"/>
    <w:tmpl w:val="31FE383C"/>
    <w:lvl w:ilvl="0" w:tplc="B1FC80F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25E0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4A5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64124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C641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A3D5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C6B3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6E790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0BA1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AC3249"/>
    <w:multiLevelType w:val="hybridMultilevel"/>
    <w:tmpl w:val="BBB4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C3"/>
    <w:rsid w:val="00053C1F"/>
    <w:rsid w:val="00071221"/>
    <w:rsid w:val="00075A4D"/>
    <w:rsid w:val="00334249"/>
    <w:rsid w:val="00372953"/>
    <w:rsid w:val="0044270D"/>
    <w:rsid w:val="004B5F5E"/>
    <w:rsid w:val="004D499D"/>
    <w:rsid w:val="004E74A4"/>
    <w:rsid w:val="006340DB"/>
    <w:rsid w:val="00656DD0"/>
    <w:rsid w:val="0066105F"/>
    <w:rsid w:val="00664069"/>
    <w:rsid w:val="006A4A91"/>
    <w:rsid w:val="006B501D"/>
    <w:rsid w:val="00700F9A"/>
    <w:rsid w:val="00722FE1"/>
    <w:rsid w:val="007C2BC3"/>
    <w:rsid w:val="00804991"/>
    <w:rsid w:val="008F1485"/>
    <w:rsid w:val="008F4584"/>
    <w:rsid w:val="00A028BC"/>
    <w:rsid w:val="00AD027D"/>
    <w:rsid w:val="00AD2D85"/>
    <w:rsid w:val="00B20265"/>
    <w:rsid w:val="00B3522F"/>
    <w:rsid w:val="00BE465D"/>
    <w:rsid w:val="00C000E8"/>
    <w:rsid w:val="00C133FD"/>
    <w:rsid w:val="00C26967"/>
    <w:rsid w:val="00C6549A"/>
    <w:rsid w:val="00C668D6"/>
    <w:rsid w:val="00CC577C"/>
    <w:rsid w:val="00D07556"/>
    <w:rsid w:val="00D62E2B"/>
    <w:rsid w:val="00DF60E1"/>
    <w:rsid w:val="00E62EB9"/>
    <w:rsid w:val="00E84391"/>
    <w:rsid w:val="00E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F9A"/>
  </w:style>
  <w:style w:type="paragraph" w:styleId="Footer">
    <w:name w:val="footer"/>
    <w:basedOn w:val="Normal"/>
    <w:link w:val="FooterChar"/>
    <w:uiPriority w:val="99"/>
    <w:unhideWhenUsed/>
    <w:rsid w:val="00700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F9A"/>
  </w:style>
  <w:style w:type="character" w:styleId="Hyperlink">
    <w:name w:val="Hyperlink"/>
    <w:rsid w:val="007C2BC3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7C2BC3"/>
  </w:style>
  <w:style w:type="paragraph" w:styleId="NoSpacing">
    <w:name w:val="No Spacing"/>
    <w:uiPriority w:val="1"/>
    <w:qFormat/>
    <w:rsid w:val="007C2BC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F9A"/>
  </w:style>
  <w:style w:type="paragraph" w:styleId="Footer">
    <w:name w:val="footer"/>
    <w:basedOn w:val="Normal"/>
    <w:link w:val="FooterChar"/>
    <w:uiPriority w:val="99"/>
    <w:unhideWhenUsed/>
    <w:rsid w:val="00700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F9A"/>
  </w:style>
  <w:style w:type="character" w:styleId="Hyperlink">
    <w:name w:val="Hyperlink"/>
    <w:rsid w:val="007C2BC3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7C2BC3"/>
  </w:style>
  <w:style w:type="paragraph" w:styleId="NoSpacing">
    <w:name w:val="No Spacing"/>
    <w:uiPriority w:val="1"/>
    <w:qFormat/>
    <w:rsid w:val="007C2BC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35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0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6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87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1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38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631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84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70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66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46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1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drew.Mayes@uea.ac.u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.C.Thompson@plymouth.ac.uk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ariesapp@essex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aissue@essex.ac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mea01.safelinks.protection.outlook.com/?url=http%3A%2F%2Fwww.aries-dtp.ac.uk&amp;data=02%7C01%7Caries.dtp%40uea.ac.uk%7C499dbe7355d2468a67af08d6381bb8d4%7Cc65f8795ba3d43518a070865e5d8f090%7C0%7C0%7C636758089056270087&amp;sdata=ffPYn12uGv03AzTEM5wGjFvntVFMPh6qQAkN0yrGqrg%3D&amp;reserved=0" TargetMode="External"/><Relationship Id="rId10" Type="http://schemas.openxmlformats.org/officeDocument/2006/relationships/hyperlink" Target="mailto:cwhitby@essex.ac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Gilfoyle@anglianwater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dmininstration%20-%20PGR\Studentships\sc-templates-biological_science-portrait.dotx" TargetMode="External"/></Relationships>
</file>

<file path=word/theme/theme1.xml><?xml version="1.0" encoding="utf-8"?>
<a:theme xmlns:a="http://schemas.openxmlformats.org/drawingml/2006/main" name="Office Theme">
  <a:themeElements>
    <a:clrScheme name="Student_Communications">
      <a:dk1>
        <a:srgbClr val="000000"/>
      </a:dk1>
      <a:lt1>
        <a:srgbClr val="535659"/>
      </a:lt1>
      <a:dk2>
        <a:srgbClr val="A7A8AA"/>
      </a:dk2>
      <a:lt2>
        <a:srgbClr val="D0D0D0"/>
      </a:lt2>
      <a:accent1>
        <a:srgbClr val="F3D311"/>
      </a:accent1>
      <a:accent2>
        <a:srgbClr val="D55C19"/>
      </a:accent2>
      <a:accent3>
        <a:srgbClr val="C1D82F"/>
      </a:accent3>
      <a:accent4>
        <a:srgbClr val="DA3C7E"/>
      </a:accent4>
      <a:accent5>
        <a:srgbClr val="00AFD8"/>
      </a:accent5>
      <a:accent6>
        <a:srgbClr val="FEFFFF"/>
      </a:accent6>
      <a:hlink>
        <a:srgbClr val="0432FF"/>
      </a:hlink>
      <a:folHlink>
        <a:srgbClr val="FF260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341E91-05C0-4A12-B700-74E245E6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sc-templates-biological_science-portrait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Revill, Emma C</dc:creator>
  <cp:lastModifiedBy>Cole, Katie C</cp:lastModifiedBy>
  <cp:revision>2</cp:revision>
  <dcterms:created xsi:type="dcterms:W3CDTF">2018-11-09T09:25:00Z</dcterms:created>
  <dcterms:modified xsi:type="dcterms:W3CDTF">2018-11-09T09:25:00Z</dcterms:modified>
</cp:coreProperties>
</file>