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7597" w14:textId="6C2CA7E7" w:rsidR="00AF797A" w:rsidRPr="0053048A" w:rsidRDefault="00AF797A" w:rsidP="00E11AE1">
      <w:pPr>
        <w:pStyle w:val="Default"/>
        <w:spacing w:before="120" w:after="120" w:line="360" w:lineRule="auto"/>
        <w:ind w:left="720" w:right="1084"/>
        <w:jc w:val="center"/>
        <w:rPr>
          <w:rFonts w:ascii="Arial" w:hAnsi="Arial" w:cs="Arial"/>
          <w:b/>
          <w:bCs/>
          <w:color w:val="221F1F"/>
        </w:rPr>
      </w:pPr>
      <w:r w:rsidRPr="0053048A">
        <w:rPr>
          <w:rFonts w:ascii="Arial" w:hAnsi="Arial" w:cs="Arial"/>
          <w:b/>
          <w:bCs/>
          <w:color w:val="221F1F"/>
        </w:rPr>
        <w:t xml:space="preserve">Remuneration Annual report </w:t>
      </w:r>
      <w:r w:rsidR="0053048A">
        <w:rPr>
          <w:rFonts w:ascii="Arial" w:hAnsi="Arial" w:cs="Arial"/>
          <w:b/>
          <w:bCs/>
          <w:color w:val="221F1F"/>
        </w:rPr>
        <w:t xml:space="preserve">to Council </w:t>
      </w:r>
      <w:r w:rsidRPr="0053048A">
        <w:rPr>
          <w:rFonts w:ascii="Arial" w:hAnsi="Arial" w:cs="Arial"/>
          <w:b/>
          <w:bCs/>
          <w:color w:val="221F1F"/>
        </w:rPr>
        <w:t>2021-22</w:t>
      </w:r>
      <w:r w:rsidR="004F7AF2">
        <w:rPr>
          <w:rFonts w:ascii="Arial" w:hAnsi="Arial" w:cs="Arial"/>
          <w:b/>
          <w:bCs/>
          <w:color w:val="221F1F"/>
        </w:rPr>
        <w:t xml:space="preserve"> (approved)</w:t>
      </w:r>
    </w:p>
    <w:p w14:paraId="5BCFE922" w14:textId="522F9491" w:rsidR="00AF797A" w:rsidRPr="0053048A" w:rsidRDefault="00AF797A" w:rsidP="00E11AE1">
      <w:pPr>
        <w:pStyle w:val="Default"/>
        <w:spacing w:before="120" w:after="120" w:line="360" w:lineRule="auto"/>
        <w:ind w:right="1084"/>
        <w:rPr>
          <w:rFonts w:ascii="Arial" w:hAnsi="Arial" w:cs="Arial"/>
          <w:color w:val="221F1F"/>
        </w:rPr>
      </w:pPr>
    </w:p>
    <w:p w14:paraId="06636901" w14:textId="0F8D5C3D" w:rsidR="00AF797A" w:rsidRPr="0053048A" w:rsidRDefault="00AF797A" w:rsidP="00E11AE1">
      <w:pPr>
        <w:pStyle w:val="Default"/>
        <w:spacing w:before="120" w:after="120" w:line="360" w:lineRule="auto"/>
        <w:ind w:right="1084"/>
        <w:rPr>
          <w:rFonts w:ascii="Arial" w:hAnsi="Arial" w:cs="Arial"/>
          <w:b/>
          <w:bCs/>
          <w:color w:val="221F1F"/>
        </w:rPr>
      </w:pPr>
      <w:r w:rsidRPr="0053048A">
        <w:rPr>
          <w:rFonts w:ascii="Arial" w:hAnsi="Arial" w:cs="Arial"/>
          <w:b/>
          <w:bCs/>
          <w:color w:val="221F1F"/>
        </w:rPr>
        <w:t>Introduction</w:t>
      </w:r>
    </w:p>
    <w:p w14:paraId="3CCEE5B0" w14:textId="02214EAE" w:rsidR="00AF797A" w:rsidRPr="0053048A" w:rsidRDefault="00AF797A" w:rsidP="00D37093">
      <w:pPr>
        <w:pStyle w:val="Default"/>
        <w:numPr>
          <w:ilvl w:val="0"/>
          <w:numId w:val="7"/>
        </w:numPr>
        <w:spacing w:before="120" w:after="240" w:line="360" w:lineRule="auto"/>
        <w:ind w:right="1084"/>
        <w:rPr>
          <w:rFonts w:ascii="Arial" w:hAnsi="Arial" w:cs="Arial"/>
          <w:color w:val="221F1F"/>
        </w:rPr>
      </w:pPr>
      <w:r w:rsidRPr="0053048A">
        <w:rPr>
          <w:rFonts w:ascii="Arial" w:hAnsi="Arial" w:cs="Arial"/>
          <w:color w:val="221F1F"/>
        </w:rPr>
        <w:t>The Committee of University Chairs Senior Staff Remuneration Code requires that an annual report is made to the governing body and made publicly available.</w:t>
      </w:r>
    </w:p>
    <w:p w14:paraId="3AE8C4B7" w14:textId="77777777" w:rsidR="00E11AE1" w:rsidRDefault="00E85BC6" w:rsidP="00D37093">
      <w:pPr>
        <w:pStyle w:val="Default"/>
        <w:numPr>
          <w:ilvl w:val="0"/>
          <w:numId w:val="7"/>
        </w:numPr>
        <w:spacing w:before="120" w:after="240" w:line="360" w:lineRule="auto"/>
        <w:ind w:right="1084"/>
        <w:rPr>
          <w:rFonts w:ascii="Arial" w:hAnsi="Arial" w:cs="Arial"/>
          <w:color w:val="221F1F"/>
        </w:rPr>
      </w:pPr>
      <w:hyperlink r:id="rId8" w:history="1">
        <w:r w:rsidR="00AF797A" w:rsidRPr="00BC702F">
          <w:rPr>
            <w:rStyle w:val="Hyperlink"/>
            <w:rFonts w:ascii="Arial" w:hAnsi="Arial" w:cs="Arial"/>
          </w:rPr>
          <w:t>The terms of reference and membership</w:t>
        </w:r>
      </w:hyperlink>
      <w:r w:rsidR="00AF797A" w:rsidRPr="00BC702F">
        <w:rPr>
          <w:rFonts w:ascii="Arial" w:hAnsi="Arial" w:cs="Arial"/>
          <w:color w:val="221F1F"/>
        </w:rPr>
        <w:t xml:space="preserve"> of Remuneration Committee</w:t>
      </w:r>
      <w:r w:rsidR="0053048A" w:rsidRPr="00BC702F">
        <w:rPr>
          <w:rFonts w:ascii="Arial" w:hAnsi="Arial" w:cs="Arial"/>
          <w:color w:val="221F1F"/>
        </w:rPr>
        <w:t>, as with all sub-committees of Council,</w:t>
      </w:r>
      <w:r w:rsidR="00AF797A" w:rsidRPr="00BC702F">
        <w:rPr>
          <w:rFonts w:ascii="Arial" w:hAnsi="Arial" w:cs="Arial"/>
          <w:color w:val="221F1F"/>
        </w:rPr>
        <w:t xml:space="preserve"> are reviewed annually and agreed by Council. They are published on the University’s webpages</w:t>
      </w:r>
      <w:r w:rsidR="00BC702F" w:rsidRPr="00BC702F">
        <w:rPr>
          <w:rFonts w:ascii="Arial" w:hAnsi="Arial" w:cs="Arial"/>
          <w:color w:val="221F1F"/>
        </w:rPr>
        <w:t xml:space="preserve">.  </w:t>
      </w:r>
    </w:p>
    <w:p w14:paraId="5C771D7D" w14:textId="3FE6D6EC" w:rsidR="00AF797A" w:rsidRPr="00BC702F" w:rsidRDefault="00BC702F" w:rsidP="00D37093">
      <w:pPr>
        <w:pStyle w:val="Default"/>
        <w:numPr>
          <w:ilvl w:val="0"/>
          <w:numId w:val="7"/>
        </w:numPr>
        <w:spacing w:before="120" w:after="240" w:line="360" w:lineRule="auto"/>
        <w:ind w:right="1084"/>
        <w:rPr>
          <w:rFonts w:ascii="Arial" w:hAnsi="Arial" w:cs="Arial"/>
          <w:color w:val="221F1F"/>
        </w:rPr>
      </w:pPr>
      <w:r w:rsidRPr="00BC702F">
        <w:rPr>
          <w:rFonts w:ascii="Arial" w:hAnsi="Arial" w:cs="Arial"/>
          <w:color w:val="221F1F"/>
        </w:rPr>
        <w:t>The terms of reference for Remuneration Committee require the submission of an annual report to Council that meets the requirements of the Committee of University</w:t>
      </w:r>
      <w:r w:rsidRPr="00034C13">
        <w:rPr>
          <w:rFonts w:ascii="Arial" w:hAnsi="Arial" w:cs="Arial"/>
          <w:color w:val="221F1F"/>
        </w:rPr>
        <w:t xml:space="preserve"> Chairs (CUC) senior remuneration code, to include details of the decisions taken by the Committee and the basis upon which it has exercised the authority delegated to it by Council; and providing details of the individual salaries of the Vice-Chancellor and Registrar and Secretary.</w:t>
      </w:r>
    </w:p>
    <w:p w14:paraId="3114DFCE" w14:textId="4EF43AE8" w:rsidR="00AF797A" w:rsidRPr="0053048A" w:rsidRDefault="00AF797A" w:rsidP="00D37093">
      <w:pPr>
        <w:pStyle w:val="Default"/>
        <w:numPr>
          <w:ilvl w:val="0"/>
          <w:numId w:val="7"/>
        </w:numPr>
        <w:spacing w:before="120" w:after="240" w:line="360" w:lineRule="auto"/>
        <w:ind w:right="1084"/>
        <w:rPr>
          <w:rFonts w:ascii="Arial" w:hAnsi="Arial" w:cs="Arial"/>
          <w:color w:val="221F1F"/>
        </w:rPr>
      </w:pPr>
      <w:r w:rsidRPr="0053048A">
        <w:rPr>
          <w:rFonts w:ascii="Arial" w:hAnsi="Arial" w:cs="Arial"/>
          <w:color w:val="221F1F"/>
        </w:rPr>
        <w:t xml:space="preserve">Members </w:t>
      </w:r>
      <w:r w:rsidR="0053048A">
        <w:rPr>
          <w:rFonts w:ascii="Arial" w:hAnsi="Arial" w:cs="Arial"/>
          <w:color w:val="221F1F"/>
        </w:rPr>
        <w:t xml:space="preserve">of Remuneration Committee </w:t>
      </w:r>
      <w:r w:rsidRPr="0053048A">
        <w:rPr>
          <w:rFonts w:ascii="Arial" w:hAnsi="Arial" w:cs="Arial"/>
          <w:color w:val="221F1F"/>
        </w:rPr>
        <w:t>are appointed through Nominations Committee and the membership includes one independent member. The Vice-Chancellor is not a member of Remuneration Committee.</w:t>
      </w:r>
    </w:p>
    <w:p w14:paraId="01747379" w14:textId="04192AE8" w:rsidR="00AF797A" w:rsidRPr="0053048A" w:rsidRDefault="00AF797A" w:rsidP="00D37093">
      <w:pPr>
        <w:pStyle w:val="Default"/>
        <w:numPr>
          <w:ilvl w:val="0"/>
          <w:numId w:val="7"/>
        </w:numPr>
        <w:spacing w:before="120" w:after="240" w:line="360" w:lineRule="auto"/>
        <w:ind w:right="1084"/>
        <w:rPr>
          <w:rFonts w:ascii="Arial" w:hAnsi="Arial" w:cs="Arial"/>
          <w:color w:val="221F1F"/>
        </w:rPr>
      </w:pPr>
      <w:r w:rsidRPr="0053048A">
        <w:rPr>
          <w:rFonts w:ascii="Arial" w:hAnsi="Arial" w:cs="Arial"/>
          <w:color w:val="221F1F"/>
        </w:rPr>
        <w:t xml:space="preserve">In relation to the 2021-22 annual salary review, Remuneration Committee met twice, on </w:t>
      </w:r>
      <w:r w:rsidR="006345DF" w:rsidRPr="0053048A">
        <w:rPr>
          <w:rFonts w:ascii="Arial" w:hAnsi="Arial" w:cs="Arial"/>
          <w:color w:val="221F1F"/>
        </w:rPr>
        <w:t>27 June 2022</w:t>
      </w:r>
      <w:r w:rsidRPr="0053048A">
        <w:rPr>
          <w:rFonts w:ascii="Arial" w:hAnsi="Arial" w:cs="Arial"/>
          <w:color w:val="221F1F"/>
        </w:rPr>
        <w:t xml:space="preserve"> and 31 October 2022. </w:t>
      </w:r>
    </w:p>
    <w:p w14:paraId="2EF3F690" w14:textId="687CB561" w:rsidR="00552856" w:rsidRPr="0053048A" w:rsidRDefault="00552856" w:rsidP="00E11AE1">
      <w:pPr>
        <w:pStyle w:val="Default"/>
        <w:numPr>
          <w:ilvl w:val="0"/>
          <w:numId w:val="7"/>
        </w:numPr>
        <w:spacing w:before="120" w:after="120" w:line="360" w:lineRule="auto"/>
        <w:ind w:right="1084"/>
        <w:rPr>
          <w:rFonts w:ascii="Arial" w:hAnsi="Arial" w:cs="Arial"/>
          <w:color w:val="221F1F"/>
        </w:rPr>
      </w:pPr>
      <w:r w:rsidRPr="0053048A">
        <w:rPr>
          <w:rFonts w:ascii="Arial" w:hAnsi="Arial" w:cs="Arial"/>
          <w:color w:val="221F1F"/>
        </w:rPr>
        <w:t>Post-holders within the remit of Remuneration Committee decision-making are:</w:t>
      </w:r>
    </w:p>
    <w:p w14:paraId="32AD7F85" w14:textId="13474B7E" w:rsidR="00552856" w:rsidRPr="0053048A" w:rsidRDefault="00552856" w:rsidP="00E11AE1">
      <w:pPr>
        <w:pStyle w:val="Default"/>
        <w:numPr>
          <w:ilvl w:val="0"/>
          <w:numId w:val="15"/>
        </w:numPr>
        <w:spacing w:before="120" w:after="120" w:line="360" w:lineRule="auto"/>
        <w:ind w:right="1084"/>
        <w:rPr>
          <w:rFonts w:ascii="Arial" w:hAnsi="Arial" w:cs="Arial"/>
          <w:color w:val="221F1F"/>
        </w:rPr>
      </w:pPr>
      <w:r w:rsidRPr="0053048A">
        <w:rPr>
          <w:rFonts w:ascii="Arial" w:hAnsi="Arial" w:cs="Arial"/>
          <w:color w:val="221F1F"/>
        </w:rPr>
        <w:t>The Vice-Chancellor</w:t>
      </w:r>
    </w:p>
    <w:p w14:paraId="3127E0EA" w14:textId="4F2AF631" w:rsidR="00552856" w:rsidRPr="0053048A" w:rsidRDefault="00552856" w:rsidP="00E11AE1">
      <w:pPr>
        <w:pStyle w:val="Default"/>
        <w:numPr>
          <w:ilvl w:val="0"/>
          <w:numId w:val="15"/>
        </w:numPr>
        <w:spacing w:before="120" w:after="120" w:line="360" w:lineRule="auto"/>
        <w:ind w:right="1084"/>
        <w:rPr>
          <w:rFonts w:ascii="Arial" w:hAnsi="Arial" w:cs="Arial"/>
          <w:color w:val="221F1F"/>
        </w:rPr>
      </w:pPr>
      <w:r w:rsidRPr="0053048A">
        <w:rPr>
          <w:rFonts w:ascii="Arial" w:hAnsi="Arial" w:cs="Arial"/>
          <w:color w:val="221F1F"/>
        </w:rPr>
        <w:t>The Registrar and Secretary</w:t>
      </w:r>
    </w:p>
    <w:p w14:paraId="3E33A6B8" w14:textId="2AEC84CC" w:rsidR="00552856" w:rsidRPr="0053048A" w:rsidRDefault="00552856" w:rsidP="00E11AE1">
      <w:pPr>
        <w:pStyle w:val="Default"/>
        <w:numPr>
          <w:ilvl w:val="0"/>
          <w:numId w:val="15"/>
        </w:numPr>
        <w:spacing w:before="120" w:after="120" w:line="360" w:lineRule="auto"/>
        <w:ind w:right="1084"/>
        <w:rPr>
          <w:rFonts w:ascii="Arial" w:hAnsi="Arial" w:cs="Arial"/>
          <w:color w:val="221F1F"/>
        </w:rPr>
      </w:pPr>
      <w:r w:rsidRPr="0053048A">
        <w:rPr>
          <w:rFonts w:ascii="Arial" w:hAnsi="Arial" w:cs="Arial"/>
          <w:color w:val="221F1F"/>
        </w:rPr>
        <w:t>Members of University Steering Group</w:t>
      </w:r>
    </w:p>
    <w:p w14:paraId="4EAF5E60" w14:textId="4FD87E32" w:rsidR="00552856" w:rsidRPr="0053048A" w:rsidRDefault="00552856" w:rsidP="00E11AE1">
      <w:pPr>
        <w:pStyle w:val="Default"/>
        <w:numPr>
          <w:ilvl w:val="0"/>
          <w:numId w:val="15"/>
        </w:numPr>
        <w:spacing w:before="120" w:after="120" w:line="360" w:lineRule="auto"/>
        <w:ind w:right="1084"/>
        <w:rPr>
          <w:rFonts w:ascii="Arial" w:hAnsi="Arial" w:cs="Arial"/>
          <w:color w:val="221F1F"/>
        </w:rPr>
      </w:pPr>
      <w:r w:rsidRPr="0053048A">
        <w:rPr>
          <w:rFonts w:ascii="Arial" w:hAnsi="Arial" w:cs="Arial"/>
          <w:color w:val="221F1F"/>
        </w:rPr>
        <w:t>University Office Holders</w:t>
      </w:r>
    </w:p>
    <w:p w14:paraId="0076C762" w14:textId="4B62C3BA" w:rsidR="00552856" w:rsidRPr="0053048A" w:rsidRDefault="00552856" w:rsidP="00E11AE1">
      <w:pPr>
        <w:pStyle w:val="Default"/>
        <w:numPr>
          <w:ilvl w:val="0"/>
          <w:numId w:val="15"/>
        </w:numPr>
        <w:spacing w:before="120" w:after="120" w:line="360" w:lineRule="auto"/>
        <w:ind w:right="1084"/>
        <w:rPr>
          <w:rFonts w:ascii="Arial" w:hAnsi="Arial" w:cs="Arial"/>
          <w:color w:val="221F1F"/>
        </w:rPr>
      </w:pPr>
      <w:r w:rsidRPr="0053048A">
        <w:rPr>
          <w:rFonts w:ascii="Arial" w:hAnsi="Arial" w:cs="Arial"/>
          <w:color w:val="221F1F"/>
        </w:rPr>
        <w:t xml:space="preserve">Grade 11 </w:t>
      </w:r>
      <w:r w:rsidR="00BC702F">
        <w:rPr>
          <w:rFonts w:ascii="Arial" w:hAnsi="Arial" w:cs="Arial"/>
          <w:color w:val="221F1F"/>
        </w:rPr>
        <w:t xml:space="preserve">senior </w:t>
      </w:r>
      <w:r w:rsidRPr="0053048A">
        <w:rPr>
          <w:rFonts w:ascii="Arial" w:hAnsi="Arial" w:cs="Arial"/>
          <w:color w:val="221F1F"/>
        </w:rPr>
        <w:t>professional services staff</w:t>
      </w:r>
    </w:p>
    <w:p w14:paraId="71EBC6E2" w14:textId="386C1C0B" w:rsidR="00552856" w:rsidRPr="0053048A" w:rsidRDefault="00552856" w:rsidP="00E11AE1">
      <w:pPr>
        <w:pStyle w:val="Default"/>
        <w:numPr>
          <w:ilvl w:val="0"/>
          <w:numId w:val="15"/>
        </w:numPr>
        <w:spacing w:before="120" w:after="120" w:line="360" w:lineRule="auto"/>
        <w:ind w:right="1084"/>
        <w:rPr>
          <w:rFonts w:ascii="Arial" w:hAnsi="Arial" w:cs="Arial"/>
          <w:color w:val="221F1F"/>
        </w:rPr>
      </w:pPr>
      <w:r w:rsidRPr="0053048A">
        <w:rPr>
          <w:rFonts w:ascii="Arial" w:hAnsi="Arial" w:cs="Arial"/>
          <w:color w:val="221F1F"/>
        </w:rPr>
        <w:t>Grade 11 Professors</w:t>
      </w:r>
    </w:p>
    <w:p w14:paraId="3013DDD7" w14:textId="16472F03" w:rsidR="00AF797A" w:rsidRPr="0053048A" w:rsidRDefault="00AF797A" w:rsidP="00E11AE1">
      <w:pPr>
        <w:autoSpaceDE w:val="0"/>
        <w:autoSpaceDN w:val="0"/>
        <w:adjustRightInd w:val="0"/>
        <w:spacing w:before="120" w:after="120" w:line="360" w:lineRule="auto"/>
        <w:ind w:right="1084"/>
        <w:rPr>
          <w:rFonts w:ascii="Arial" w:eastAsiaTheme="minorHAnsi" w:hAnsi="Arial" w:cs="Arial"/>
          <w:b/>
          <w:bCs/>
        </w:rPr>
      </w:pPr>
      <w:r w:rsidRPr="0053048A">
        <w:rPr>
          <w:rFonts w:ascii="Arial" w:eastAsiaTheme="minorHAnsi" w:hAnsi="Arial" w:cs="Arial"/>
          <w:b/>
          <w:bCs/>
        </w:rPr>
        <w:t>Approach to remuneration</w:t>
      </w:r>
    </w:p>
    <w:p w14:paraId="5333F0D3" w14:textId="4E185379" w:rsidR="004745F5" w:rsidRPr="0053048A" w:rsidRDefault="004745F5" w:rsidP="00D37093">
      <w:pPr>
        <w:pStyle w:val="ListParagraph"/>
        <w:numPr>
          <w:ilvl w:val="0"/>
          <w:numId w:val="7"/>
        </w:numPr>
        <w:autoSpaceDE w:val="0"/>
        <w:autoSpaceDN w:val="0"/>
        <w:adjustRightInd w:val="0"/>
        <w:spacing w:before="120" w:after="240" w:line="360" w:lineRule="auto"/>
        <w:ind w:right="1084"/>
        <w:contextualSpacing w:val="0"/>
        <w:rPr>
          <w:rFonts w:ascii="Arial" w:hAnsi="Arial" w:cs="Arial"/>
          <w:color w:val="231F20"/>
          <w:sz w:val="24"/>
          <w:szCs w:val="24"/>
        </w:rPr>
      </w:pPr>
      <w:r w:rsidRPr="0053048A">
        <w:rPr>
          <w:rFonts w:ascii="Arial" w:hAnsi="Arial" w:cs="Arial"/>
          <w:color w:val="231F20"/>
          <w:sz w:val="24"/>
          <w:szCs w:val="24"/>
        </w:rPr>
        <w:t>All staff are eligible for performance-related pay, which can take the form of a salary increase (in the form of accelerated or discretionary increments) for sustained exceptional performance in relation to their job role or a bonus for an exceptional one-off activity or specific achievement.</w:t>
      </w:r>
    </w:p>
    <w:p w14:paraId="54123ABA" w14:textId="77777777" w:rsidR="00BC702F" w:rsidRDefault="004745F5" w:rsidP="00D37093">
      <w:pPr>
        <w:pStyle w:val="ListParagraph"/>
        <w:numPr>
          <w:ilvl w:val="0"/>
          <w:numId w:val="7"/>
        </w:numPr>
        <w:autoSpaceDE w:val="0"/>
        <w:autoSpaceDN w:val="0"/>
        <w:adjustRightInd w:val="0"/>
        <w:spacing w:before="120" w:after="240" w:line="360" w:lineRule="auto"/>
        <w:ind w:right="1084"/>
        <w:contextualSpacing w:val="0"/>
        <w:rPr>
          <w:rFonts w:ascii="Arial" w:hAnsi="Arial" w:cs="Arial"/>
          <w:color w:val="231F20"/>
          <w:sz w:val="24"/>
          <w:szCs w:val="24"/>
        </w:rPr>
      </w:pPr>
      <w:r w:rsidRPr="0053048A">
        <w:rPr>
          <w:rFonts w:ascii="Arial" w:hAnsi="Arial" w:cs="Arial"/>
          <w:color w:val="231F20"/>
          <w:sz w:val="24"/>
          <w:szCs w:val="24"/>
        </w:rPr>
        <w:lastRenderedPageBreak/>
        <w:t>An application must be made for an award to be considered. The application could be made by an individual themselves or by nomination through their line manager.</w:t>
      </w:r>
    </w:p>
    <w:p w14:paraId="5C14C17E" w14:textId="573D1725" w:rsidR="004745F5" w:rsidRDefault="004745F5" w:rsidP="00D37093">
      <w:pPr>
        <w:pStyle w:val="ListParagraph"/>
        <w:numPr>
          <w:ilvl w:val="0"/>
          <w:numId w:val="7"/>
        </w:numPr>
        <w:autoSpaceDE w:val="0"/>
        <w:autoSpaceDN w:val="0"/>
        <w:adjustRightInd w:val="0"/>
        <w:spacing w:before="120" w:after="240" w:line="360" w:lineRule="auto"/>
        <w:ind w:right="1084"/>
        <w:contextualSpacing w:val="0"/>
        <w:rPr>
          <w:rFonts w:ascii="Arial" w:hAnsi="Arial" w:cs="Arial"/>
          <w:color w:val="231F20"/>
          <w:sz w:val="24"/>
          <w:szCs w:val="24"/>
        </w:rPr>
      </w:pPr>
      <w:r w:rsidRPr="0053048A">
        <w:rPr>
          <w:rFonts w:ascii="Arial" w:hAnsi="Arial" w:cs="Arial"/>
          <w:color w:val="231F20"/>
          <w:sz w:val="24"/>
          <w:szCs w:val="24"/>
        </w:rPr>
        <w:t>All staff are contractually entitled to receive any nationally negotiated pay award, in addition to any performance-related pay increase. Grades are determined through the Higher Education Role Analysis (HERA) job evaluation framework.</w:t>
      </w:r>
    </w:p>
    <w:p w14:paraId="48B11292" w14:textId="3807EEB4" w:rsidR="0053048A" w:rsidRDefault="004745F5" w:rsidP="00D37093">
      <w:pPr>
        <w:pStyle w:val="ListParagraph"/>
        <w:numPr>
          <w:ilvl w:val="0"/>
          <w:numId w:val="7"/>
        </w:numPr>
        <w:autoSpaceDE w:val="0"/>
        <w:autoSpaceDN w:val="0"/>
        <w:adjustRightInd w:val="0"/>
        <w:spacing w:before="120" w:after="240" w:line="360" w:lineRule="auto"/>
        <w:ind w:right="1083"/>
        <w:contextualSpacing w:val="0"/>
        <w:rPr>
          <w:rFonts w:ascii="Arial" w:hAnsi="Arial" w:cs="Arial"/>
          <w:color w:val="231F20"/>
          <w:sz w:val="24"/>
          <w:szCs w:val="24"/>
        </w:rPr>
      </w:pPr>
      <w:r w:rsidRPr="0053048A">
        <w:rPr>
          <w:rFonts w:ascii="Arial" w:hAnsi="Arial" w:cs="Arial"/>
          <w:color w:val="231F20"/>
          <w:sz w:val="24"/>
          <w:szCs w:val="24"/>
        </w:rPr>
        <w:t xml:space="preserve">When considering reward proposals for senior post holders, applications must demonstrate exceptional performance in relation to their job role. This is based on assessment of performance against individual objectives in support of the University </w:t>
      </w:r>
      <w:r w:rsidR="00E11AE1">
        <w:rPr>
          <w:rFonts w:ascii="Arial" w:hAnsi="Arial" w:cs="Arial"/>
          <w:color w:val="231F20"/>
          <w:sz w:val="24"/>
          <w:szCs w:val="24"/>
        </w:rPr>
        <w:t>key performance indicators (</w:t>
      </w:r>
      <w:r w:rsidRPr="0053048A">
        <w:rPr>
          <w:rFonts w:ascii="Arial" w:hAnsi="Arial" w:cs="Arial"/>
          <w:color w:val="231F20"/>
          <w:sz w:val="24"/>
          <w:szCs w:val="24"/>
        </w:rPr>
        <w:t>KPIs</w:t>
      </w:r>
      <w:r w:rsidR="00E11AE1">
        <w:rPr>
          <w:rFonts w:ascii="Arial" w:hAnsi="Arial" w:cs="Arial"/>
          <w:color w:val="231F20"/>
          <w:sz w:val="24"/>
          <w:szCs w:val="24"/>
        </w:rPr>
        <w:t>)</w:t>
      </w:r>
      <w:r w:rsidRPr="0053048A">
        <w:rPr>
          <w:rFonts w:ascii="Arial" w:hAnsi="Arial" w:cs="Arial"/>
          <w:color w:val="231F20"/>
          <w:sz w:val="24"/>
          <w:szCs w:val="24"/>
        </w:rPr>
        <w:t xml:space="preserve">. Strategic priority objectives are agreed annually for the Vice-Chancellor and members of the University Steering Group, alongside personal objectives. </w:t>
      </w:r>
    </w:p>
    <w:p w14:paraId="21963690" w14:textId="754D5059" w:rsidR="00DD3224" w:rsidRPr="0053048A" w:rsidRDefault="00DD3224" w:rsidP="00D37093">
      <w:pPr>
        <w:pStyle w:val="ListParagraph"/>
        <w:numPr>
          <w:ilvl w:val="0"/>
          <w:numId w:val="7"/>
        </w:numPr>
        <w:autoSpaceDE w:val="0"/>
        <w:autoSpaceDN w:val="0"/>
        <w:adjustRightInd w:val="0"/>
        <w:spacing w:before="120" w:after="240" w:line="360" w:lineRule="auto"/>
        <w:ind w:right="1083"/>
        <w:contextualSpacing w:val="0"/>
        <w:rPr>
          <w:rFonts w:ascii="Arial" w:hAnsi="Arial" w:cs="Arial"/>
          <w:color w:val="231F20"/>
          <w:sz w:val="24"/>
          <w:szCs w:val="24"/>
        </w:rPr>
      </w:pPr>
      <w:r w:rsidRPr="0053048A">
        <w:rPr>
          <w:rFonts w:ascii="Arial" w:hAnsi="Arial" w:cs="Arial"/>
          <w:color w:val="231F20"/>
          <w:sz w:val="24"/>
          <w:szCs w:val="24"/>
        </w:rPr>
        <w:t xml:space="preserve">Each year when the budget is set, affordability of </w:t>
      </w:r>
      <w:r w:rsidR="00E11AE1">
        <w:rPr>
          <w:rFonts w:ascii="Arial" w:hAnsi="Arial" w:cs="Arial"/>
          <w:color w:val="231F20"/>
          <w:sz w:val="24"/>
          <w:szCs w:val="24"/>
        </w:rPr>
        <w:t xml:space="preserve">the </w:t>
      </w:r>
      <w:r w:rsidRPr="0053048A">
        <w:rPr>
          <w:rFonts w:ascii="Arial" w:hAnsi="Arial" w:cs="Arial"/>
          <w:color w:val="231F20"/>
          <w:sz w:val="24"/>
          <w:szCs w:val="24"/>
        </w:rPr>
        <w:t xml:space="preserve">annual review </w:t>
      </w:r>
      <w:r w:rsidR="00BC702F">
        <w:rPr>
          <w:rFonts w:ascii="Arial" w:hAnsi="Arial" w:cs="Arial"/>
          <w:color w:val="231F20"/>
          <w:sz w:val="24"/>
          <w:szCs w:val="24"/>
        </w:rPr>
        <w:t xml:space="preserve">process </w:t>
      </w:r>
      <w:r w:rsidRPr="0053048A">
        <w:rPr>
          <w:rFonts w:ascii="Arial" w:hAnsi="Arial" w:cs="Arial"/>
          <w:color w:val="231F20"/>
          <w:sz w:val="24"/>
          <w:szCs w:val="24"/>
        </w:rPr>
        <w:t xml:space="preserve">is </w:t>
      </w:r>
      <w:r w:rsidR="0053048A" w:rsidRPr="0053048A">
        <w:rPr>
          <w:rFonts w:ascii="Arial" w:hAnsi="Arial" w:cs="Arial"/>
          <w:color w:val="231F20"/>
          <w:sz w:val="24"/>
          <w:szCs w:val="24"/>
        </w:rPr>
        <w:t>determined,</w:t>
      </w:r>
      <w:r w:rsidRPr="0053048A">
        <w:rPr>
          <w:rFonts w:ascii="Arial" w:hAnsi="Arial" w:cs="Arial"/>
          <w:color w:val="231F20"/>
          <w:sz w:val="24"/>
          <w:szCs w:val="24"/>
        </w:rPr>
        <w:t xml:space="preserve"> and a financial envelope set aside based on affordability. There was no annual review in 2020 as part of the University’s financial sustainability plan.</w:t>
      </w:r>
    </w:p>
    <w:p w14:paraId="7947CD37" w14:textId="45D8D78A" w:rsidR="00001F99" w:rsidRPr="0053048A" w:rsidRDefault="00001F99" w:rsidP="00E11AE1">
      <w:pPr>
        <w:autoSpaceDE w:val="0"/>
        <w:autoSpaceDN w:val="0"/>
        <w:adjustRightInd w:val="0"/>
        <w:spacing w:before="120" w:after="120" w:line="360" w:lineRule="auto"/>
        <w:ind w:right="1084"/>
        <w:rPr>
          <w:rFonts w:ascii="Arial" w:eastAsiaTheme="minorHAnsi" w:hAnsi="Arial" w:cs="Arial"/>
          <w:b/>
          <w:bCs/>
          <w:color w:val="231F20"/>
        </w:rPr>
      </w:pPr>
      <w:r w:rsidRPr="0053048A">
        <w:rPr>
          <w:rFonts w:ascii="Arial" w:eastAsiaTheme="minorHAnsi" w:hAnsi="Arial" w:cs="Arial"/>
          <w:b/>
          <w:bCs/>
          <w:color w:val="231F20"/>
        </w:rPr>
        <w:t>Benchmarking</w:t>
      </w:r>
    </w:p>
    <w:p w14:paraId="6640A514" w14:textId="71A8FC38" w:rsidR="006345DF" w:rsidRDefault="00001F99" w:rsidP="00E11AE1">
      <w:pPr>
        <w:pStyle w:val="ListParagraph"/>
        <w:numPr>
          <w:ilvl w:val="0"/>
          <w:numId w:val="7"/>
        </w:numPr>
        <w:autoSpaceDE w:val="0"/>
        <w:autoSpaceDN w:val="0"/>
        <w:adjustRightInd w:val="0"/>
        <w:spacing w:before="120" w:after="120" w:line="360" w:lineRule="auto"/>
        <w:ind w:right="1084"/>
        <w:contextualSpacing w:val="0"/>
        <w:rPr>
          <w:rFonts w:ascii="Arial" w:hAnsi="Arial" w:cs="Arial"/>
          <w:color w:val="231F20"/>
          <w:sz w:val="24"/>
          <w:szCs w:val="24"/>
        </w:rPr>
      </w:pPr>
      <w:r w:rsidRPr="0053048A">
        <w:rPr>
          <w:rFonts w:ascii="Arial" w:hAnsi="Arial" w:cs="Arial"/>
          <w:color w:val="231F20"/>
          <w:sz w:val="24"/>
          <w:szCs w:val="24"/>
        </w:rPr>
        <w:t>The Vice-Chancellor’s remuneration is benchmarked against comparator groups directly linked to the University KPIs. These are:</w:t>
      </w:r>
    </w:p>
    <w:p w14:paraId="4109FD41" w14:textId="26FB91AF" w:rsidR="00001F99" w:rsidRPr="0053048A" w:rsidRDefault="00001F99" w:rsidP="00E11AE1">
      <w:pPr>
        <w:pStyle w:val="ListParagraph"/>
        <w:numPr>
          <w:ilvl w:val="0"/>
          <w:numId w:val="9"/>
        </w:numPr>
        <w:spacing w:before="120" w:after="120" w:line="360" w:lineRule="auto"/>
        <w:ind w:right="1084"/>
        <w:contextualSpacing w:val="0"/>
        <w:rPr>
          <w:rFonts w:ascii="Arial" w:hAnsi="Arial" w:cs="Arial"/>
          <w:sz w:val="24"/>
          <w:szCs w:val="24"/>
        </w:rPr>
      </w:pPr>
      <w:r w:rsidRPr="0053048A">
        <w:rPr>
          <w:rFonts w:ascii="Arial" w:hAnsi="Arial" w:cs="Arial"/>
          <w:sz w:val="24"/>
          <w:szCs w:val="24"/>
        </w:rPr>
        <w:t xml:space="preserve">Times Good University Guide </w:t>
      </w:r>
      <w:r w:rsidR="00697239">
        <w:rPr>
          <w:rFonts w:ascii="Arial" w:hAnsi="Arial" w:cs="Arial"/>
          <w:sz w:val="24"/>
          <w:szCs w:val="24"/>
        </w:rPr>
        <w:t xml:space="preserve">(TGUG) </w:t>
      </w:r>
      <w:r w:rsidRPr="0053048A">
        <w:rPr>
          <w:rFonts w:ascii="Arial" w:hAnsi="Arial" w:cs="Arial"/>
          <w:sz w:val="24"/>
          <w:szCs w:val="24"/>
        </w:rPr>
        <w:t>top 30</w:t>
      </w:r>
    </w:p>
    <w:p w14:paraId="37458F24" w14:textId="1C10BB9F" w:rsidR="00001F99" w:rsidRPr="0053048A" w:rsidRDefault="00BC702F" w:rsidP="00E11AE1">
      <w:pPr>
        <w:pStyle w:val="ListParagraph"/>
        <w:numPr>
          <w:ilvl w:val="0"/>
          <w:numId w:val="9"/>
        </w:numPr>
        <w:spacing w:before="120" w:after="120" w:line="360" w:lineRule="auto"/>
        <w:ind w:right="1084"/>
        <w:contextualSpacing w:val="0"/>
        <w:rPr>
          <w:rFonts w:ascii="Arial" w:hAnsi="Arial" w:cs="Arial"/>
          <w:sz w:val="24"/>
          <w:szCs w:val="24"/>
        </w:rPr>
      </w:pPr>
      <w:r>
        <w:rPr>
          <w:rFonts w:ascii="Arial" w:hAnsi="Arial" w:cs="Arial"/>
          <w:sz w:val="24"/>
          <w:szCs w:val="24"/>
        </w:rPr>
        <w:t>I</w:t>
      </w:r>
      <w:r w:rsidR="00001F99" w:rsidRPr="0053048A">
        <w:rPr>
          <w:rFonts w:ascii="Arial" w:hAnsi="Arial" w:cs="Arial"/>
          <w:sz w:val="24"/>
          <w:szCs w:val="24"/>
        </w:rPr>
        <w:t>nstitutions falling in the Top 25 of both the R</w:t>
      </w:r>
      <w:r w:rsidR="00E11AE1">
        <w:rPr>
          <w:rFonts w:ascii="Arial" w:hAnsi="Arial" w:cs="Arial"/>
          <w:sz w:val="24"/>
          <w:szCs w:val="24"/>
        </w:rPr>
        <w:t xml:space="preserve">esearch </w:t>
      </w:r>
      <w:r w:rsidR="00001F99" w:rsidRPr="0053048A">
        <w:rPr>
          <w:rFonts w:ascii="Arial" w:hAnsi="Arial" w:cs="Arial"/>
          <w:sz w:val="24"/>
          <w:szCs w:val="24"/>
        </w:rPr>
        <w:t>E</w:t>
      </w:r>
      <w:r w:rsidR="00E11AE1">
        <w:rPr>
          <w:rFonts w:ascii="Arial" w:hAnsi="Arial" w:cs="Arial"/>
          <w:sz w:val="24"/>
          <w:szCs w:val="24"/>
        </w:rPr>
        <w:t xml:space="preserve">xcellence </w:t>
      </w:r>
      <w:r w:rsidR="00001F99" w:rsidRPr="0053048A">
        <w:rPr>
          <w:rFonts w:ascii="Arial" w:hAnsi="Arial" w:cs="Arial"/>
          <w:sz w:val="24"/>
          <w:szCs w:val="24"/>
        </w:rPr>
        <w:t>F</w:t>
      </w:r>
      <w:r w:rsidR="00E11AE1">
        <w:rPr>
          <w:rFonts w:ascii="Arial" w:hAnsi="Arial" w:cs="Arial"/>
          <w:sz w:val="24"/>
          <w:szCs w:val="24"/>
        </w:rPr>
        <w:t>ramework (REF)</w:t>
      </w:r>
      <w:r w:rsidR="00001F99" w:rsidRPr="0053048A">
        <w:rPr>
          <w:rFonts w:ascii="Arial" w:hAnsi="Arial" w:cs="Arial"/>
          <w:sz w:val="24"/>
          <w:szCs w:val="24"/>
        </w:rPr>
        <w:t xml:space="preserve"> and </w:t>
      </w:r>
      <w:r w:rsidR="00E11AE1">
        <w:rPr>
          <w:rFonts w:ascii="Arial" w:hAnsi="Arial" w:cs="Arial"/>
          <w:sz w:val="24"/>
          <w:szCs w:val="24"/>
        </w:rPr>
        <w:t xml:space="preserve">the </w:t>
      </w:r>
      <w:r w:rsidR="00001F99" w:rsidRPr="0053048A">
        <w:rPr>
          <w:rFonts w:ascii="Arial" w:hAnsi="Arial" w:cs="Arial"/>
          <w:sz w:val="24"/>
          <w:szCs w:val="24"/>
        </w:rPr>
        <w:t>T</w:t>
      </w:r>
      <w:r w:rsidR="00E11AE1">
        <w:rPr>
          <w:rFonts w:ascii="Arial" w:hAnsi="Arial" w:cs="Arial"/>
          <w:sz w:val="24"/>
          <w:szCs w:val="24"/>
        </w:rPr>
        <w:t xml:space="preserve">eaching </w:t>
      </w:r>
      <w:r w:rsidR="00001F99" w:rsidRPr="0053048A">
        <w:rPr>
          <w:rFonts w:ascii="Arial" w:hAnsi="Arial" w:cs="Arial"/>
          <w:sz w:val="24"/>
          <w:szCs w:val="24"/>
        </w:rPr>
        <w:t>E</w:t>
      </w:r>
      <w:r w:rsidR="00E11AE1">
        <w:rPr>
          <w:rFonts w:ascii="Arial" w:hAnsi="Arial" w:cs="Arial"/>
          <w:sz w:val="24"/>
          <w:szCs w:val="24"/>
        </w:rPr>
        <w:t xml:space="preserve">xcellence </w:t>
      </w:r>
      <w:r w:rsidR="00001F99" w:rsidRPr="0053048A">
        <w:rPr>
          <w:rFonts w:ascii="Arial" w:hAnsi="Arial" w:cs="Arial"/>
          <w:sz w:val="24"/>
          <w:szCs w:val="24"/>
        </w:rPr>
        <w:t>F</w:t>
      </w:r>
      <w:r w:rsidR="00E11AE1">
        <w:rPr>
          <w:rFonts w:ascii="Arial" w:hAnsi="Arial" w:cs="Arial"/>
          <w:sz w:val="24"/>
          <w:szCs w:val="24"/>
        </w:rPr>
        <w:t>ramework (TEF)</w:t>
      </w:r>
      <w:r w:rsidR="00001F99" w:rsidRPr="0053048A">
        <w:rPr>
          <w:rFonts w:ascii="Arial" w:hAnsi="Arial" w:cs="Arial"/>
          <w:sz w:val="24"/>
          <w:szCs w:val="24"/>
        </w:rPr>
        <w:t xml:space="preserve">, </w:t>
      </w:r>
    </w:p>
    <w:p w14:paraId="755C26CC" w14:textId="4C856919" w:rsidR="00001F99" w:rsidRPr="0053048A" w:rsidRDefault="00034C13" w:rsidP="00E11AE1">
      <w:pPr>
        <w:pStyle w:val="ListParagraph"/>
        <w:numPr>
          <w:ilvl w:val="0"/>
          <w:numId w:val="9"/>
        </w:numPr>
        <w:spacing w:before="120" w:after="120" w:line="360" w:lineRule="auto"/>
        <w:ind w:right="1084"/>
        <w:contextualSpacing w:val="0"/>
        <w:rPr>
          <w:rFonts w:ascii="Arial" w:hAnsi="Arial" w:cs="Arial"/>
          <w:sz w:val="24"/>
          <w:szCs w:val="24"/>
        </w:rPr>
      </w:pPr>
      <w:r>
        <w:rPr>
          <w:rFonts w:ascii="Arial" w:hAnsi="Arial" w:cs="Arial"/>
          <w:sz w:val="24"/>
          <w:szCs w:val="24"/>
        </w:rPr>
        <w:t xml:space="preserve">Institutions that are included with </w:t>
      </w:r>
      <w:r w:rsidR="00001F99" w:rsidRPr="0053048A">
        <w:rPr>
          <w:rFonts w:ascii="Arial" w:hAnsi="Arial" w:cs="Arial"/>
          <w:sz w:val="24"/>
          <w:szCs w:val="24"/>
        </w:rPr>
        <w:t>Cluster X</w:t>
      </w:r>
      <w:r>
        <w:rPr>
          <w:rFonts w:ascii="Arial" w:hAnsi="Arial" w:cs="Arial"/>
          <w:sz w:val="24"/>
          <w:szCs w:val="24"/>
        </w:rPr>
        <w:t xml:space="preserve"> for the pur</w:t>
      </w:r>
      <w:r w:rsidR="004236CF">
        <w:rPr>
          <w:rFonts w:ascii="Arial" w:hAnsi="Arial" w:cs="Arial"/>
          <w:sz w:val="24"/>
          <w:szCs w:val="24"/>
        </w:rPr>
        <w:t>p</w:t>
      </w:r>
      <w:r>
        <w:rPr>
          <w:rFonts w:ascii="Arial" w:hAnsi="Arial" w:cs="Arial"/>
          <w:sz w:val="24"/>
          <w:szCs w:val="24"/>
        </w:rPr>
        <w:t>oses of the Knowledge Exchange Framework (KEF)</w:t>
      </w:r>
    </w:p>
    <w:p w14:paraId="5B051CA2" w14:textId="5176339F" w:rsidR="00001F99" w:rsidRPr="0053048A" w:rsidRDefault="00BC702F" w:rsidP="00D37093">
      <w:pPr>
        <w:pStyle w:val="ListParagraph"/>
        <w:numPr>
          <w:ilvl w:val="0"/>
          <w:numId w:val="9"/>
        </w:numPr>
        <w:spacing w:before="120" w:after="240" w:line="360" w:lineRule="auto"/>
        <w:ind w:right="1084"/>
        <w:contextualSpacing w:val="0"/>
        <w:rPr>
          <w:rFonts w:ascii="Arial" w:hAnsi="Arial" w:cs="Arial"/>
          <w:sz w:val="24"/>
          <w:szCs w:val="24"/>
        </w:rPr>
      </w:pPr>
      <w:r>
        <w:rPr>
          <w:rFonts w:ascii="Arial" w:hAnsi="Arial" w:cs="Arial"/>
          <w:sz w:val="24"/>
          <w:szCs w:val="24"/>
        </w:rPr>
        <w:t>Institut</w:t>
      </w:r>
      <w:r w:rsidR="00034C13">
        <w:rPr>
          <w:rFonts w:ascii="Arial" w:hAnsi="Arial" w:cs="Arial"/>
          <w:sz w:val="24"/>
          <w:szCs w:val="24"/>
        </w:rPr>
        <w:t>i</w:t>
      </w:r>
      <w:r>
        <w:rPr>
          <w:rFonts w:ascii="Arial" w:hAnsi="Arial" w:cs="Arial"/>
          <w:sz w:val="24"/>
          <w:szCs w:val="24"/>
        </w:rPr>
        <w:t xml:space="preserve">ons that form part of the University’s </w:t>
      </w:r>
      <w:r w:rsidR="00001F99" w:rsidRPr="0053048A">
        <w:rPr>
          <w:rFonts w:ascii="Arial" w:hAnsi="Arial" w:cs="Arial"/>
          <w:sz w:val="24"/>
          <w:szCs w:val="24"/>
        </w:rPr>
        <w:t xml:space="preserve">UCAS </w:t>
      </w:r>
      <w:r>
        <w:rPr>
          <w:rFonts w:ascii="Arial" w:hAnsi="Arial" w:cs="Arial"/>
          <w:sz w:val="24"/>
          <w:szCs w:val="24"/>
        </w:rPr>
        <w:t xml:space="preserve">admissions </w:t>
      </w:r>
      <w:r w:rsidR="00001F99" w:rsidRPr="0053048A">
        <w:rPr>
          <w:rFonts w:ascii="Arial" w:hAnsi="Arial" w:cs="Arial"/>
          <w:sz w:val="24"/>
          <w:szCs w:val="24"/>
        </w:rPr>
        <w:t>group</w:t>
      </w:r>
    </w:p>
    <w:p w14:paraId="751E1B8E" w14:textId="6C0BE6C2" w:rsidR="00001F99" w:rsidRPr="0053048A" w:rsidRDefault="00001F99" w:rsidP="00E11AE1">
      <w:pPr>
        <w:pStyle w:val="ListParagraph"/>
        <w:numPr>
          <w:ilvl w:val="0"/>
          <w:numId w:val="7"/>
        </w:numPr>
        <w:spacing w:before="120" w:after="120" w:line="360" w:lineRule="auto"/>
        <w:ind w:right="1084"/>
        <w:contextualSpacing w:val="0"/>
        <w:rPr>
          <w:rFonts w:ascii="Arial" w:hAnsi="Arial" w:cs="Arial"/>
          <w:sz w:val="24"/>
          <w:szCs w:val="24"/>
        </w:rPr>
      </w:pPr>
      <w:r w:rsidRPr="0053048A">
        <w:rPr>
          <w:rFonts w:ascii="Arial" w:hAnsi="Arial" w:cs="Arial"/>
          <w:sz w:val="24"/>
          <w:szCs w:val="24"/>
        </w:rPr>
        <w:t>The salaries of senior staff within the decision-making remit of Remuneration Committee are benchmarked according to the following principles:</w:t>
      </w:r>
    </w:p>
    <w:p w14:paraId="216DFA5D" w14:textId="36B442D0" w:rsidR="00001F99" w:rsidRPr="0053048A" w:rsidRDefault="00001F99" w:rsidP="00E11AE1">
      <w:pPr>
        <w:pStyle w:val="ListParagraph"/>
        <w:numPr>
          <w:ilvl w:val="0"/>
          <w:numId w:val="9"/>
        </w:numPr>
        <w:spacing w:before="120" w:after="120" w:line="360" w:lineRule="auto"/>
        <w:ind w:right="1084"/>
        <w:contextualSpacing w:val="0"/>
        <w:rPr>
          <w:rFonts w:ascii="Arial" w:hAnsi="Arial" w:cs="Arial"/>
          <w:sz w:val="24"/>
          <w:szCs w:val="24"/>
        </w:rPr>
      </w:pPr>
      <w:r w:rsidRPr="0053048A">
        <w:rPr>
          <w:rFonts w:ascii="Arial" w:hAnsi="Arial" w:cs="Arial"/>
          <w:sz w:val="24"/>
          <w:szCs w:val="24"/>
        </w:rPr>
        <w:t>In relation to consideration for additional performance-related pay, senior Grade 11 academic roles continue to be benchmarked against institutions within the Pre-</w:t>
      </w:r>
      <w:r w:rsidR="00697239">
        <w:rPr>
          <w:rFonts w:ascii="Arial" w:hAnsi="Arial" w:cs="Arial"/>
          <w:sz w:val="24"/>
          <w:szCs w:val="24"/>
        </w:rPr>
        <w:t>19</w:t>
      </w:r>
      <w:r w:rsidRPr="0053048A">
        <w:rPr>
          <w:rFonts w:ascii="Arial" w:hAnsi="Arial" w:cs="Arial"/>
          <w:sz w:val="24"/>
          <w:szCs w:val="24"/>
        </w:rPr>
        <w:t>92 Institution type as generally the most relevant sub-set.</w:t>
      </w:r>
    </w:p>
    <w:p w14:paraId="132A8539" w14:textId="77777777" w:rsidR="00001F99" w:rsidRPr="0053048A" w:rsidRDefault="00001F99" w:rsidP="00E11AE1">
      <w:pPr>
        <w:pStyle w:val="ListParagraph"/>
        <w:numPr>
          <w:ilvl w:val="0"/>
          <w:numId w:val="9"/>
        </w:numPr>
        <w:spacing w:before="120" w:after="120" w:line="360" w:lineRule="auto"/>
        <w:ind w:right="1084"/>
        <w:contextualSpacing w:val="0"/>
        <w:rPr>
          <w:rFonts w:ascii="Arial" w:hAnsi="Arial" w:cs="Arial"/>
          <w:sz w:val="24"/>
          <w:szCs w:val="24"/>
        </w:rPr>
      </w:pPr>
      <w:r w:rsidRPr="0053048A">
        <w:rPr>
          <w:rFonts w:ascii="Arial" w:hAnsi="Arial" w:cs="Arial"/>
          <w:sz w:val="24"/>
          <w:szCs w:val="24"/>
        </w:rPr>
        <w:t>Senior Grade 11 professional services roles continue to be benchmarked against institutions within the relevant band of the institutional income sub-set.</w:t>
      </w:r>
    </w:p>
    <w:p w14:paraId="6145A177" w14:textId="77777777" w:rsidR="00001F99" w:rsidRPr="0053048A" w:rsidRDefault="00001F99" w:rsidP="00E11AE1">
      <w:pPr>
        <w:pStyle w:val="ListParagraph"/>
        <w:numPr>
          <w:ilvl w:val="0"/>
          <w:numId w:val="9"/>
        </w:numPr>
        <w:spacing w:before="120" w:after="120" w:line="360" w:lineRule="auto"/>
        <w:ind w:right="1084"/>
        <w:contextualSpacing w:val="0"/>
        <w:rPr>
          <w:rFonts w:ascii="Arial" w:hAnsi="Arial" w:cs="Arial"/>
          <w:sz w:val="24"/>
          <w:szCs w:val="24"/>
        </w:rPr>
      </w:pPr>
      <w:r w:rsidRPr="0053048A">
        <w:rPr>
          <w:rFonts w:ascii="Arial" w:hAnsi="Arial" w:cs="Arial"/>
          <w:sz w:val="24"/>
          <w:szCs w:val="24"/>
        </w:rPr>
        <w:t xml:space="preserve">In some limited cases, it may also be appropriate to provide alternative benchmarking information.  This might include other UCEA comparators, for example, if regional pay </w:t>
      </w:r>
      <w:r w:rsidRPr="0053048A">
        <w:rPr>
          <w:rFonts w:ascii="Arial" w:hAnsi="Arial" w:cs="Arial"/>
          <w:sz w:val="24"/>
          <w:szCs w:val="24"/>
        </w:rPr>
        <w:lastRenderedPageBreak/>
        <w:t>benchmarks are relevant and available, or for some roles that have comparable equivalents in the public sector and industry, where benchmarking information from outside the sector might be relevant.  In these cases, the reason for providing additional benchmarking information will be clearly explained and provided alongside the agreed UCEA comparator group data.</w:t>
      </w:r>
    </w:p>
    <w:p w14:paraId="47503031" w14:textId="77777777" w:rsidR="00001F99" w:rsidRPr="0053048A" w:rsidRDefault="00001F99" w:rsidP="00E11AE1">
      <w:pPr>
        <w:pStyle w:val="ListParagraph"/>
        <w:numPr>
          <w:ilvl w:val="0"/>
          <w:numId w:val="9"/>
        </w:numPr>
        <w:spacing w:before="120" w:after="120" w:line="360" w:lineRule="auto"/>
        <w:ind w:right="1084"/>
        <w:contextualSpacing w:val="0"/>
        <w:rPr>
          <w:rFonts w:ascii="Arial" w:hAnsi="Arial" w:cs="Arial"/>
          <w:sz w:val="24"/>
          <w:szCs w:val="24"/>
        </w:rPr>
      </w:pPr>
      <w:r w:rsidRPr="0053048A">
        <w:rPr>
          <w:rFonts w:ascii="Arial" w:hAnsi="Arial" w:cs="Arial"/>
          <w:sz w:val="24"/>
          <w:szCs w:val="24"/>
        </w:rPr>
        <w:t xml:space="preserve">Senior staff are generally appointed around the median and can expect to progress to the upper quartile if they demonstrate sustained exceptional performance.   This reflects our ambition to be in the top 25 TGUG and to ensure salaries are competitive in the external market.  Senior staff who do not apply or are not awarded performance related pay continue to benefit from any pay increases applicable to all Grade 11 staff.   </w:t>
      </w:r>
    </w:p>
    <w:p w14:paraId="6A559919" w14:textId="77777777" w:rsidR="00001F99" w:rsidRPr="00E11AE1" w:rsidRDefault="00001F99" w:rsidP="00E11AE1">
      <w:pPr>
        <w:pStyle w:val="ListParagraph"/>
        <w:numPr>
          <w:ilvl w:val="0"/>
          <w:numId w:val="9"/>
        </w:numPr>
        <w:spacing w:before="120" w:after="120" w:line="360" w:lineRule="auto"/>
        <w:ind w:right="1084"/>
        <w:contextualSpacing w:val="0"/>
        <w:rPr>
          <w:rFonts w:ascii="Arial" w:hAnsi="Arial" w:cs="Arial"/>
          <w:sz w:val="24"/>
          <w:szCs w:val="24"/>
        </w:rPr>
      </w:pPr>
      <w:r w:rsidRPr="0053048A">
        <w:rPr>
          <w:rFonts w:ascii="Arial" w:hAnsi="Arial" w:cs="Arial"/>
          <w:sz w:val="24"/>
          <w:szCs w:val="24"/>
        </w:rPr>
        <w:t xml:space="preserve">Appointments may be made below the median – upper quartile zone and performance-related pay benchmarked accordingly in circumstances where the </w:t>
      </w:r>
      <w:r w:rsidRPr="00E11AE1">
        <w:rPr>
          <w:rFonts w:ascii="Arial" w:hAnsi="Arial" w:cs="Arial"/>
          <w:sz w:val="24"/>
          <w:szCs w:val="24"/>
        </w:rPr>
        <w:t xml:space="preserve">individual is, for example, newly promoted or taking on a broader range of duties.  </w:t>
      </w:r>
    </w:p>
    <w:p w14:paraId="70DF30FE" w14:textId="77777777" w:rsidR="00001F99" w:rsidRPr="0053048A" w:rsidRDefault="00001F99" w:rsidP="00D37093">
      <w:pPr>
        <w:pStyle w:val="ListParagraph"/>
        <w:numPr>
          <w:ilvl w:val="0"/>
          <w:numId w:val="9"/>
        </w:numPr>
        <w:spacing w:before="120" w:after="240" w:line="360" w:lineRule="auto"/>
        <w:ind w:right="1084"/>
        <w:contextualSpacing w:val="0"/>
        <w:rPr>
          <w:rFonts w:ascii="Arial" w:hAnsi="Arial" w:cs="Arial"/>
          <w:sz w:val="24"/>
          <w:szCs w:val="24"/>
        </w:rPr>
      </w:pPr>
      <w:r w:rsidRPr="00E11AE1">
        <w:rPr>
          <w:rFonts w:ascii="Arial" w:hAnsi="Arial" w:cs="Arial"/>
          <w:sz w:val="24"/>
          <w:szCs w:val="24"/>
        </w:rPr>
        <w:t xml:space="preserve">Strong performers are expected to track the median, with only exceptional performers progressing beyond this into the upper quartile.  In these cases, progression in less than 3-5 years would be unusual. </w:t>
      </w:r>
      <w:r w:rsidRPr="0053048A">
        <w:rPr>
          <w:rFonts w:ascii="Arial" w:hAnsi="Arial" w:cs="Arial"/>
          <w:sz w:val="24"/>
          <w:szCs w:val="24"/>
        </w:rPr>
        <w:t>Performance is assessed against objectives as part of the annual review of strategic priorities and individual performance conversations.</w:t>
      </w:r>
    </w:p>
    <w:p w14:paraId="443D2CCD" w14:textId="7513E466" w:rsidR="00AF797A" w:rsidRPr="0053048A" w:rsidRDefault="00552856" w:rsidP="00E11AE1">
      <w:pPr>
        <w:pStyle w:val="ListParagraph"/>
        <w:numPr>
          <w:ilvl w:val="0"/>
          <w:numId w:val="7"/>
        </w:numPr>
        <w:autoSpaceDE w:val="0"/>
        <w:autoSpaceDN w:val="0"/>
        <w:adjustRightInd w:val="0"/>
        <w:spacing w:before="120" w:after="120" w:line="360" w:lineRule="auto"/>
        <w:ind w:right="1084"/>
        <w:contextualSpacing w:val="0"/>
        <w:rPr>
          <w:rFonts w:ascii="Arial" w:hAnsi="Arial" w:cs="Arial"/>
          <w:color w:val="231F20"/>
          <w:sz w:val="24"/>
          <w:szCs w:val="24"/>
        </w:rPr>
      </w:pPr>
      <w:r w:rsidRPr="0053048A">
        <w:rPr>
          <w:rFonts w:ascii="Arial" w:hAnsi="Arial" w:cs="Arial"/>
          <w:color w:val="231F20"/>
          <w:sz w:val="24"/>
          <w:szCs w:val="24"/>
        </w:rPr>
        <w:t>The</w:t>
      </w:r>
      <w:r w:rsidR="00AF797A" w:rsidRPr="0053048A">
        <w:rPr>
          <w:rFonts w:ascii="Arial" w:hAnsi="Arial" w:cs="Arial"/>
          <w:color w:val="231F20"/>
          <w:sz w:val="24"/>
          <w:szCs w:val="24"/>
        </w:rPr>
        <w:t xml:space="preserve"> data that supports these indicators </w:t>
      </w:r>
      <w:r w:rsidRPr="0053048A">
        <w:rPr>
          <w:rFonts w:ascii="Arial" w:hAnsi="Arial" w:cs="Arial"/>
          <w:color w:val="231F20"/>
          <w:sz w:val="24"/>
          <w:szCs w:val="24"/>
        </w:rPr>
        <w:t>includes:</w:t>
      </w:r>
    </w:p>
    <w:p w14:paraId="79EC7CDA" w14:textId="1821EABC" w:rsidR="00AF797A" w:rsidRPr="0053048A" w:rsidRDefault="00697239" w:rsidP="00697239">
      <w:pPr>
        <w:pStyle w:val="ListParagraph"/>
        <w:numPr>
          <w:ilvl w:val="0"/>
          <w:numId w:val="9"/>
        </w:numPr>
        <w:spacing w:before="120" w:after="120" w:line="360" w:lineRule="auto"/>
        <w:ind w:right="1084"/>
        <w:contextualSpacing w:val="0"/>
        <w:rPr>
          <w:rFonts w:ascii="Arial" w:hAnsi="Arial" w:cs="Arial"/>
          <w:color w:val="231F20"/>
          <w:sz w:val="24"/>
          <w:szCs w:val="24"/>
        </w:rPr>
      </w:pPr>
      <w:r>
        <w:rPr>
          <w:rFonts w:ascii="Arial" w:hAnsi="Arial" w:cs="Arial"/>
          <w:sz w:val="24"/>
          <w:szCs w:val="24"/>
        </w:rPr>
        <w:t>t</w:t>
      </w:r>
      <w:r w:rsidR="00AF797A" w:rsidRPr="00697239">
        <w:rPr>
          <w:rFonts w:ascii="Arial" w:hAnsi="Arial" w:cs="Arial"/>
          <w:sz w:val="24"/>
          <w:szCs w:val="24"/>
        </w:rPr>
        <w:t>he</w:t>
      </w:r>
      <w:r w:rsidR="00AF797A" w:rsidRPr="0053048A">
        <w:rPr>
          <w:rFonts w:ascii="Arial" w:hAnsi="Arial" w:cs="Arial"/>
          <w:color w:val="231F20"/>
          <w:sz w:val="24"/>
          <w:szCs w:val="24"/>
        </w:rPr>
        <w:t xml:space="preserve"> Universities and Colleges Employer Association’s </w:t>
      </w:r>
      <w:r>
        <w:rPr>
          <w:rFonts w:ascii="Arial" w:hAnsi="Arial" w:cs="Arial"/>
          <w:color w:val="231F20"/>
          <w:sz w:val="24"/>
          <w:szCs w:val="24"/>
        </w:rPr>
        <w:t xml:space="preserve">(UCEA) </w:t>
      </w:r>
      <w:r w:rsidR="00AF797A" w:rsidRPr="0053048A">
        <w:rPr>
          <w:rFonts w:ascii="Arial" w:hAnsi="Arial" w:cs="Arial"/>
          <w:color w:val="231F20"/>
          <w:sz w:val="24"/>
          <w:szCs w:val="24"/>
        </w:rPr>
        <w:t xml:space="preserve">Senior Staff Remuneration </w:t>
      </w:r>
      <w:proofErr w:type="gramStart"/>
      <w:r w:rsidR="00AF797A" w:rsidRPr="0053048A">
        <w:rPr>
          <w:rFonts w:ascii="Arial" w:hAnsi="Arial" w:cs="Arial"/>
          <w:color w:val="231F20"/>
          <w:sz w:val="24"/>
          <w:szCs w:val="24"/>
        </w:rPr>
        <w:t>Survey;</w:t>
      </w:r>
      <w:proofErr w:type="gramEnd"/>
    </w:p>
    <w:p w14:paraId="007EA2DF" w14:textId="5B34E4B1" w:rsidR="00AF797A" w:rsidRPr="0053048A" w:rsidRDefault="00AF797A" w:rsidP="00697239">
      <w:pPr>
        <w:pStyle w:val="ListParagraph"/>
        <w:numPr>
          <w:ilvl w:val="0"/>
          <w:numId w:val="9"/>
        </w:numPr>
        <w:spacing w:before="120" w:after="120" w:line="360" w:lineRule="auto"/>
        <w:ind w:right="1084"/>
        <w:contextualSpacing w:val="0"/>
        <w:rPr>
          <w:rFonts w:ascii="Arial" w:hAnsi="Arial" w:cs="Arial"/>
          <w:color w:val="231F20"/>
          <w:sz w:val="24"/>
          <w:szCs w:val="24"/>
        </w:rPr>
      </w:pPr>
      <w:r w:rsidRPr="00697239">
        <w:rPr>
          <w:rFonts w:ascii="Arial" w:hAnsi="Arial" w:cs="Arial"/>
          <w:sz w:val="24"/>
          <w:szCs w:val="24"/>
        </w:rPr>
        <w:t>the</w:t>
      </w:r>
      <w:r w:rsidRPr="0053048A">
        <w:rPr>
          <w:rFonts w:ascii="Arial" w:hAnsi="Arial" w:cs="Arial"/>
          <w:color w:val="231F20"/>
          <w:sz w:val="24"/>
          <w:szCs w:val="24"/>
        </w:rPr>
        <w:t xml:space="preserve"> Committee of University Chairs’ Vice-Chancellor Salary </w:t>
      </w:r>
      <w:proofErr w:type="gramStart"/>
      <w:r w:rsidRPr="0053048A">
        <w:rPr>
          <w:rFonts w:ascii="Arial" w:hAnsi="Arial" w:cs="Arial"/>
          <w:color w:val="231F20"/>
          <w:sz w:val="24"/>
          <w:szCs w:val="24"/>
        </w:rPr>
        <w:t>Survey;</w:t>
      </w:r>
      <w:proofErr w:type="gramEnd"/>
    </w:p>
    <w:p w14:paraId="153AF93D" w14:textId="12A6C7F3" w:rsidR="00AF797A" w:rsidRPr="0053048A" w:rsidRDefault="00552856" w:rsidP="00697239">
      <w:pPr>
        <w:pStyle w:val="ListParagraph"/>
        <w:numPr>
          <w:ilvl w:val="0"/>
          <w:numId w:val="9"/>
        </w:numPr>
        <w:spacing w:before="120" w:after="120" w:line="360" w:lineRule="auto"/>
        <w:ind w:right="1084"/>
        <w:contextualSpacing w:val="0"/>
        <w:rPr>
          <w:rFonts w:ascii="Arial" w:hAnsi="Arial" w:cs="Arial"/>
          <w:color w:val="231F20"/>
          <w:sz w:val="24"/>
          <w:szCs w:val="24"/>
        </w:rPr>
      </w:pPr>
      <w:r w:rsidRPr="00697239">
        <w:rPr>
          <w:rFonts w:ascii="Arial" w:hAnsi="Arial" w:cs="Arial"/>
          <w:sz w:val="24"/>
          <w:szCs w:val="24"/>
        </w:rPr>
        <w:t>publicly</w:t>
      </w:r>
      <w:r w:rsidRPr="0053048A">
        <w:rPr>
          <w:rFonts w:ascii="Arial" w:hAnsi="Arial" w:cs="Arial"/>
          <w:color w:val="231F20"/>
          <w:sz w:val="24"/>
          <w:szCs w:val="24"/>
        </w:rPr>
        <w:t xml:space="preserve"> available financial statements from comparator </w:t>
      </w:r>
      <w:r w:rsidR="00697239">
        <w:rPr>
          <w:rFonts w:ascii="Arial" w:hAnsi="Arial" w:cs="Arial"/>
          <w:color w:val="231F20"/>
          <w:sz w:val="24"/>
          <w:szCs w:val="24"/>
        </w:rPr>
        <w:t>higher education institutions (</w:t>
      </w:r>
      <w:r w:rsidRPr="0053048A">
        <w:rPr>
          <w:rFonts w:ascii="Arial" w:hAnsi="Arial" w:cs="Arial"/>
          <w:color w:val="231F20"/>
          <w:sz w:val="24"/>
          <w:szCs w:val="24"/>
        </w:rPr>
        <w:t>HEIs</w:t>
      </w:r>
      <w:proofErr w:type="gramStart"/>
      <w:r w:rsidR="00697239">
        <w:rPr>
          <w:rFonts w:ascii="Arial" w:hAnsi="Arial" w:cs="Arial"/>
          <w:color w:val="231F20"/>
          <w:sz w:val="24"/>
          <w:szCs w:val="24"/>
        </w:rPr>
        <w:t>);</w:t>
      </w:r>
      <w:proofErr w:type="gramEnd"/>
      <w:r w:rsidR="00697239">
        <w:rPr>
          <w:rFonts w:ascii="Arial" w:hAnsi="Arial" w:cs="Arial"/>
          <w:color w:val="231F20"/>
          <w:sz w:val="24"/>
          <w:szCs w:val="24"/>
        </w:rPr>
        <w:t xml:space="preserve"> </w:t>
      </w:r>
    </w:p>
    <w:p w14:paraId="25CA33EB" w14:textId="3EA73520" w:rsidR="00552856" w:rsidRPr="0053048A" w:rsidRDefault="00552856" w:rsidP="00697239">
      <w:pPr>
        <w:pStyle w:val="ListParagraph"/>
        <w:numPr>
          <w:ilvl w:val="0"/>
          <w:numId w:val="9"/>
        </w:numPr>
        <w:spacing w:before="120" w:after="120" w:line="360" w:lineRule="auto"/>
        <w:ind w:right="1084"/>
        <w:contextualSpacing w:val="0"/>
        <w:rPr>
          <w:rFonts w:ascii="Arial" w:hAnsi="Arial" w:cs="Arial"/>
          <w:color w:val="231F20"/>
          <w:sz w:val="24"/>
          <w:szCs w:val="24"/>
        </w:rPr>
      </w:pPr>
      <w:r w:rsidRPr="00697239">
        <w:rPr>
          <w:rFonts w:ascii="Arial" w:hAnsi="Arial" w:cs="Arial"/>
          <w:sz w:val="24"/>
          <w:szCs w:val="24"/>
        </w:rPr>
        <w:t>salary</w:t>
      </w:r>
      <w:r w:rsidRPr="0053048A">
        <w:rPr>
          <w:rFonts w:ascii="Arial" w:hAnsi="Arial" w:cs="Arial"/>
          <w:color w:val="231F20"/>
          <w:sz w:val="24"/>
          <w:szCs w:val="24"/>
        </w:rPr>
        <w:t xml:space="preserve"> history and previous performance-related pay over the previous five years</w:t>
      </w:r>
      <w:r w:rsidR="00697239">
        <w:rPr>
          <w:rFonts w:ascii="Arial" w:hAnsi="Arial" w:cs="Arial"/>
          <w:color w:val="231F20"/>
          <w:sz w:val="24"/>
          <w:szCs w:val="24"/>
        </w:rPr>
        <w:t>; and</w:t>
      </w:r>
    </w:p>
    <w:p w14:paraId="127863CB" w14:textId="40F30D6D" w:rsidR="00AF797A" w:rsidRPr="0053048A" w:rsidRDefault="00AF797A" w:rsidP="00D37093">
      <w:pPr>
        <w:pStyle w:val="ListParagraph"/>
        <w:numPr>
          <w:ilvl w:val="0"/>
          <w:numId w:val="9"/>
        </w:numPr>
        <w:spacing w:before="120" w:after="240" w:line="360" w:lineRule="auto"/>
        <w:ind w:right="1084"/>
        <w:contextualSpacing w:val="0"/>
        <w:rPr>
          <w:rFonts w:ascii="Arial" w:hAnsi="Arial" w:cs="Arial"/>
          <w:color w:val="231F20"/>
          <w:sz w:val="24"/>
          <w:szCs w:val="24"/>
        </w:rPr>
      </w:pPr>
      <w:r w:rsidRPr="0053048A">
        <w:rPr>
          <w:rFonts w:ascii="Arial" w:hAnsi="Arial" w:cs="Arial"/>
          <w:color w:val="231F20"/>
          <w:sz w:val="24"/>
          <w:szCs w:val="24"/>
        </w:rPr>
        <w:t>internal analysis of salary distributions.</w:t>
      </w:r>
    </w:p>
    <w:p w14:paraId="65E26239" w14:textId="4BD5F5C8" w:rsidR="006345DF" w:rsidRPr="0053048A" w:rsidRDefault="006345DF" w:rsidP="00E11AE1">
      <w:pPr>
        <w:spacing w:before="120" w:after="120" w:line="360" w:lineRule="auto"/>
        <w:rPr>
          <w:rFonts w:ascii="Arial" w:hAnsi="Arial" w:cs="Arial"/>
          <w:b/>
          <w:bCs/>
        </w:rPr>
      </w:pPr>
      <w:r w:rsidRPr="0053048A">
        <w:rPr>
          <w:rFonts w:ascii="Arial" w:hAnsi="Arial" w:cs="Arial"/>
          <w:b/>
          <w:bCs/>
        </w:rPr>
        <w:t>Institutional performance</w:t>
      </w:r>
      <w:r w:rsidR="0053048A">
        <w:rPr>
          <w:rFonts w:ascii="Arial" w:hAnsi="Arial" w:cs="Arial"/>
          <w:b/>
          <w:bCs/>
        </w:rPr>
        <w:t xml:space="preserve"> and affordability</w:t>
      </w:r>
    </w:p>
    <w:p w14:paraId="5F3F625D" w14:textId="65E6EBB1" w:rsidR="006345DF" w:rsidRPr="0053048A" w:rsidRDefault="006345DF" w:rsidP="00D37093">
      <w:pPr>
        <w:pStyle w:val="ListParagraph"/>
        <w:numPr>
          <w:ilvl w:val="0"/>
          <w:numId w:val="7"/>
        </w:numPr>
        <w:spacing w:before="120" w:after="240" w:line="360" w:lineRule="auto"/>
        <w:contextualSpacing w:val="0"/>
        <w:rPr>
          <w:rFonts w:ascii="Arial" w:hAnsi="Arial" w:cs="Arial"/>
          <w:bCs/>
          <w:sz w:val="24"/>
          <w:szCs w:val="24"/>
        </w:rPr>
      </w:pPr>
      <w:r w:rsidRPr="0053048A">
        <w:rPr>
          <w:rFonts w:ascii="Arial" w:hAnsi="Arial" w:cs="Arial"/>
          <w:bCs/>
          <w:sz w:val="24"/>
          <w:szCs w:val="24"/>
        </w:rPr>
        <w:t xml:space="preserve">Institutional performance is measured against KPIs in the </w:t>
      </w:r>
      <w:r w:rsidR="00BC702F">
        <w:rPr>
          <w:rFonts w:ascii="Arial" w:hAnsi="Arial" w:cs="Arial"/>
          <w:bCs/>
          <w:sz w:val="24"/>
          <w:szCs w:val="24"/>
        </w:rPr>
        <w:t xml:space="preserve">University’s Strategic Plan </w:t>
      </w:r>
      <w:r w:rsidRPr="0053048A">
        <w:rPr>
          <w:rFonts w:ascii="Arial" w:hAnsi="Arial" w:cs="Arial"/>
          <w:bCs/>
          <w:sz w:val="24"/>
          <w:szCs w:val="24"/>
        </w:rPr>
        <w:t>2019 – 2025</w:t>
      </w:r>
      <w:r w:rsidR="0053048A">
        <w:rPr>
          <w:rFonts w:ascii="Arial" w:hAnsi="Arial" w:cs="Arial"/>
          <w:bCs/>
          <w:sz w:val="24"/>
          <w:szCs w:val="24"/>
        </w:rPr>
        <w:t xml:space="preserve">. At its meeting on 31 October 2022, Remuneration </w:t>
      </w:r>
      <w:r w:rsidRPr="0053048A">
        <w:rPr>
          <w:rFonts w:ascii="Arial" w:hAnsi="Arial" w:cs="Arial"/>
          <w:bCs/>
          <w:sz w:val="24"/>
          <w:szCs w:val="24"/>
        </w:rPr>
        <w:t>Committee noted the change to Times Good University Guide criteria</w:t>
      </w:r>
      <w:r w:rsidR="00697239">
        <w:rPr>
          <w:rFonts w:ascii="Arial" w:hAnsi="Arial" w:cs="Arial"/>
          <w:bCs/>
          <w:sz w:val="24"/>
          <w:szCs w:val="24"/>
        </w:rPr>
        <w:t>, which had</w:t>
      </w:r>
      <w:r w:rsidRPr="0053048A">
        <w:rPr>
          <w:rFonts w:ascii="Arial" w:hAnsi="Arial" w:cs="Arial"/>
          <w:bCs/>
          <w:sz w:val="24"/>
          <w:szCs w:val="24"/>
        </w:rPr>
        <w:t xml:space="preserve"> impact</w:t>
      </w:r>
      <w:r w:rsidR="00697239">
        <w:rPr>
          <w:rFonts w:ascii="Arial" w:hAnsi="Arial" w:cs="Arial"/>
          <w:bCs/>
          <w:sz w:val="24"/>
          <w:szCs w:val="24"/>
        </w:rPr>
        <w:t>ed</w:t>
      </w:r>
      <w:r w:rsidRPr="0053048A">
        <w:rPr>
          <w:rFonts w:ascii="Arial" w:hAnsi="Arial" w:cs="Arial"/>
          <w:bCs/>
          <w:sz w:val="24"/>
          <w:szCs w:val="24"/>
        </w:rPr>
        <w:t xml:space="preserve"> the University’s </w:t>
      </w:r>
      <w:r w:rsidR="003555CC">
        <w:rPr>
          <w:rFonts w:ascii="Arial" w:hAnsi="Arial" w:cs="Arial"/>
          <w:bCs/>
          <w:sz w:val="24"/>
          <w:szCs w:val="24"/>
        </w:rPr>
        <w:t>ranking</w:t>
      </w:r>
      <w:r w:rsidRPr="0053048A">
        <w:rPr>
          <w:rFonts w:ascii="Arial" w:hAnsi="Arial" w:cs="Arial"/>
          <w:bCs/>
          <w:sz w:val="24"/>
          <w:szCs w:val="24"/>
        </w:rPr>
        <w:t xml:space="preserve">. Across </w:t>
      </w:r>
      <w:r w:rsidR="003555CC">
        <w:rPr>
          <w:rFonts w:ascii="Arial" w:hAnsi="Arial" w:cs="Arial"/>
          <w:bCs/>
          <w:sz w:val="24"/>
          <w:szCs w:val="24"/>
        </w:rPr>
        <w:t xml:space="preserve">the remaining measures in the TGUG, the Committee noted that </w:t>
      </w:r>
      <w:r w:rsidRPr="0053048A">
        <w:rPr>
          <w:rFonts w:ascii="Arial" w:hAnsi="Arial" w:cs="Arial"/>
          <w:bCs/>
          <w:sz w:val="24"/>
          <w:szCs w:val="24"/>
        </w:rPr>
        <w:t xml:space="preserve">performance had been strong, having </w:t>
      </w:r>
      <w:r w:rsidR="003555CC">
        <w:rPr>
          <w:rFonts w:ascii="Arial" w:hAnsi="Arial" w:cs="Arial"/>
          <w:bCs/>
          <w:sz w:val="24"/>
          <w:szCs w:val="24"/>
        </w:rPr>
        <w:t xml:space="preserve">improved in </w:t>
      </w:r>
      <w:r w:rsidRPr="0053048A">
        <w:rPr>
          <w:rFonts w:ascii="Arial" w:hAnsi="Arial" w:cs="Arial"/>
          <w:bCs/>
          <w:sz w:val="24"/>
          <w:szCs w:val="24"/>
        </w:rPr>
        <w:t xml:space="preserve">six of the nine </w:t>
      </w:r>
      <w:r w:rsidR="003555CC">
        <w:rPr>
          <w:rFonts w:ascii="Arial" w:hAnsi="Arial" w:cs="Arial"/>
          <w:bCs/>
          <w:sz w:val="24"/>
          <w:szCs w:val="24"/>
        </w:rPr>
        <w:t>measures comprising the TGUG.</w:t>
      </w:r>
    </w:p>
    <w:p w14:paraId="3D905A3B" w14:textId="2AD2F3EB" w:rsidR="006345DF" w:rsidRPr="0053048A" w:rsidRDefault="006345DF" w:rsidP="00D37093">
      <w:pPr>
        <w:pStyle w:val="ListParagraph"/>
        <w:numPr>
          <w:ilvl w:val="0"/>
          <w:numId w:val="7"/>
        </w:numPr>
        <w:autoSpaceDE w:val="0"/>
        <w:autoSpaceDN w:val="0"/>
        <w:adjustRightInd w:val="0"/>
        <w:spacing w:before="120" w:after="240" w:line="360" w:lineRule="auto"/>
        <w:ind w:right="1084"/>
        <w:contextualSpacing w:val="0"/>
        <w:rPr>
          <w:rFonts w:ascii="Arial" w:hAnsi="Arial" w:cs="Arial"/>
          <w:color w:val="231F20"/>
          <w:sz w:val="24"/>
          <w:szCs w:val="24"/>
        </w:rPr>
      </w:pPr>
      <w:r w:rsidRPr="0053048A">
        <w:rPr>
          <w:rFonts w:ascii="Arial" w:hAnsi="Arial" w:cs="Arial"/>
          <w:color w:val="231F20"/>
          <w:sz w:val="24"/>
          <w:szCs w:val="24"/>
        </w:rPr>
        <w:lastRenderedPageBreak/>
        <w:t xml:space="preserve">Each year when the budget is set, affordability of annual review is </w:t>
      </w:r>
      <w:r w:rsidR="0053048A" w:rsidRPr="0053048A">
        <w:rPr>
          <w:rFonts w:ascii="Arial" w:hAnsi="Arial" w:cs="Arial"/>
          <w:color w:val="231F20"/>
          <w:sz w:val="24"/>
          <w:szCs w:val="24"/>
        </w:rPr>
        <w:t>determined,</w:t>
      </w:r>
      <w:r w:rsidRPr="0053048A">
        <w:rPr>
          <w:rFonts w:ascii="Arial" w:hAnsi="Arial" w:cs="Arial"/>
          <w:color w:val="231F20"/>
          <w:sz w:val="24"/>
          <w:szCs w:val="24"/>
        </w:rPr>
        <w:t xml:space="preserve"> and a financial envelope set aside based on affordability. There was no annual review in 2020 as part of the University’s financial sustainability plan.</w:t>
      </w:r>
    </w:p>
    <w:p w14:paraId="3D75AADA" w14:textId="55B7FA44" w:rsidR="00AF797A" w:rsidRPr="0053048A" w:rsidRDefault="00BF3E95" w:rsidP="00E11AE1">
      <w:pPr>
        <w:autoSpaceDE w:val="0"/>
        <w:autoSpaceDN w:val="0"/>
        <w:adjustRightInd w:val="0"/>
        <w:spacing w:before="120" w:after="120" w:line="360" w:lineRule="auto"/>
        <w:ind w:right="1084"/>
        <w:rPr>
          <w:rFonts w:ascii="Arial" w:eastAsiaTheme="minorHAnsi" w:hAnsi="Arial" w:cs="Arial"/>
          <w:b/>
          <w:bCs/>
          <w:color w:val="231F20"/>
        </w:rPr>
      </w:pPr>
      <w:r w:rsidRPr="0053048A">
        <w:rPr>
          <w:rFonts w:ascii="Arial" w:eastAsiaTheme="minorHAnsi" w:hAnsi="Arial" w:cs="Arial"/>
          <w:b/>
          <w:bCs/>
          <w:color w:val="231F20"/>
        </w:rPr>
        <w:t>Remuneration and performance of the Vice-Chancellor 2021-22</w:t>
      </w:r>
    </w:p>
    <w:p w14:paraId="13296B56" w14:textId="377391AB" w:rsidR="00BF3E95" w:rsidRPr="0053048A" w:rsidRDefault="00BF3E95" w:rsidP="00E11AE1">
      <w:pPr>
        <w:pStyle w:val="ListParagraph"/>
        <w:numPr>
          <w:ilvl w:val="0"/>
          <w:numId w:val="7"/>
        </w:numPr>
        <w:spacing w:before="120" w:after="120" w:line="360" w:lineRule="auto"/>
        <w:ind w:right="1084"/>
        <w:contextualSpacing w:val="0"/>
        <w:rPr>
          <w:rFonts w:ascii="Arial" w:hAnsi="Arial" w:cs="Arial"/>
          <w:sz w:val="24"/>
          <w:szCs w:val="24"/>
        </w:rPr>
      </w:pPr>
      <w:r w:rsidRPr="0053048A">
        <w:rPr>
          <w:rFonts w:ascii="Arial" w:hAnsi="Arial" w:cs="Arial"/>
          <w:sz w:val="24"/>
          <w:szCs w:val="24"/>
        </w:rPr>
        <w:t xml:space="preserve">The position of the Essex figures in comparison to the benchmarking groups has shown greater variance than in previous years. For some benchmark groups, the </w:t>
      </w:r>
      <w:r w:rsidR="00697239">
        <w:rPr>
          <w:rFonts w:ascii="Arial" w:hAnsi="Arial" w:cs="Arial"/>
          <w:sz w:val="24"/>
          <w:szCs w:val="24"/>
        </w:rPr>
        <w:br/>
      </w:r>
      <w:r w:rsidRPr="0053048A">
        <w:rPr>
          <w:rFonts w:ascii="Arial" w:hAnsi="Arial" w:cs="Arial"/>
          <w:sz w:val="24"/>
          <w:szCs w:val="24"/>
        </w:rPr>
        <w:t>Vice-Chancellor’s salary remained comparable to the upper quartile of the external data, as it has been in previous years, but in some areas, the Essex figures are above the external upper quartiles. The position of the pay multiples represents an improvement towards the UCEA median as can be seen in the table below.</w:t>
      </w:r>
    </w:p>
    <w:tbl>
      <w:tblPr>
        <w:tblStyle w:val="TableGrid"/>
        <w:tblW w:w="9923" w:type="dxa"/>
        <w:tblInd w:w="250" w:type="dxa"/>
        <w:tblLayout w:type="fixed"/>
        <w:tblLook w:val="04A0" w:firstRow="1" w:lastRow="0" w:firstColumn="1" w:lastColumn="0" w:noHBand="0" w:noVBand="1"/>
      </w:tblPr>
      <w:tblGrid>
        <w:gridCol w:w="3402"/>
        <w:gridCol w:w="1559"/>
        <w:gridCol w:w="1134"/>
        <w:gridCol w:w="1276"/>
        <w:gridCol w:w="1276"/>
        <w:gridCol w:w="1276"/>
      </w:tblGrid>
      <w:tr w:rsidR="00697239" w:rsidRPr="00697239" w14:paraId="62F8F6A5" w14:textId="77777777" w:rsidTr="00697239">
        <w:tc>
          <w:tcPr>
            <w:tcW w:w="3402" w:type="dxa"/>
            <w:vMerge w:val="restart"/>
            <w:shd w:val="clear" w:color="auto" w:fill="A6A6A6" w:themeFill="background1" w:themeFillShade="A6"/>
            <w:vAlign w:val="bottom"/>
          </w:tcPr>
          <w:p w14:paraId="0852D88F" w14:textId="6C8E6DC6" w:rsidR="00697239" w:rsidRPr="00697239" w:rsidRDefault="00697239" w:rsidP="00697239">
            <w:pPr>
              <w:spacing w:before="60" w:line="360" w:lineRule="auto"/>
              <w:rPr>
                <w:rFonts w:ascii="Arial" w:hAnsi="Arial" w:cs="Arial"/>
                <w:b/>
                <w:color w:val="FFFFFF" w:themeColor="background1"/>
                <w:sz w:val="22"/>
                <w:szCs w:val="22"/>
              </w:rPr>
            </w:pPr>
            <w:r w:rsidRPr="00697239">
              <w:rPr>
                <w:rFonts w:ascii="Arial" w:hAnsi="Arial" w:cs="Arial"/>
                <w:b/>
                <w:color w:val="FFFFFF" w:themeColor="background1"/>
                <w:sz w:val="22"/>
                <w:szCs w:val="22"/>
              </w:rPr>
              <w:t>Measure</w:t>
            </w:r>
          </w:p>
        </w:tc>
        <w:tc>
          <w:tcPr>
            <w:tcW w:w="1559" w:type="dxa"/>
            <w:shd w:val="clear" w:color="auto" w:fill="A6A6A6" w:themeFill="background1" w:themeFillShade="A6"/>
          </w:tcPr>
          <w:p w14:paraId="6D4A9D05" w14:textId="7D604CE6" w:rsidR="00697239" w:rsidRPr="00697239" w:rsidRDefault="00697239" w:rsidP="00697239">
            <w:pPr>
              <w:spacing w:before="60" w:line="360" w:lineRule="auto"/>
              <w:ind w:left="-109" w:right="-110"/>
              <w:jc w:val="center"/>
              <w:rPr>
                <w:rFonts w:ascii="Arial" w:hAnsi="Arial" w:cs="Arial"/>
                <w:b/>
                <w:color w:val="FFFFFF" w:themeColor="background1"/>
                <w:sz w:val="22"/>
                <w:szCs w:val="22"/>
              </w:rPr>
            </w:pPr>
            <w:r w:rsidRPr="00697239">
              <w:rPr>
                <w:rFonts w:ascii="Arial" w:hAnsi="Arial" w:cs="Arial"/>
                <w:b/>
                <w:color w:val="FFFFFF" w:themeColor="background1"/>
                <w:sz w:val="22"/>
                <w:szCs w:val="22"/>
              </w:rPr>
              <w:t>UCEA</w:t>
            </w:r>
            <w:r>
              <w:rPr>
                <w:rFonts w:ascii="Arial" w:hAnsi="Arial" w:cs="Arial"/>
                <w:b/>
                <w:color w:val="FFFFFF" w:themeColor="background1"/>
                <w:sz w:val="22"/>
                <w:szCs w:val="22"/>
              </w:rPr>
              <w:t xml:space="preserve"> Benchmark</w:t>
            </w:r>
          </w:p>
        </w:tc>
        <w:tc>
          <w:tcPr>
            <w:tcW w:w="4962" w:type="dxa"/>
            <w:gridSpan w:val="4"/>
            <w:shd w:val="clear" w:color="auto" w:fill="A6A6A6" w:themeFill="background1" w:themeFillShade="A6"/>
            <w:vAlign w:val="bottom"/>
          </w:tcPr>
          <w:p w14:paraId="14CBA155" w14:textId="104A5E48" w:rsidR="00697239" w:rsidRPr="00697239" w:rsidRDefault="00697239" w:rsidP="00697239">
            <w:pPr>
              <w:spacing w:before="60" w:line="360" w:lineRule="auto"/>
              <w:ind w:left="-104"/>
              <w:jc w:val="center"/>
              <w:rPr>
                <w:rFonts w:ascii="Arial" w:hAnsi="Arial" w:cs="Arial"/>
                <w:b/>
                <w:color w:val="FFFFFF" w:themeColor="background1"/>
                <w:sz w:val="22"/>
                <w:szCs w:val="22"/>
              </w:rPr>
            </w:pPr>
            <w:r>
              <w:rPr>
                <w:rFonts w:ascii="Arial" w:hAnsi="Arial" w:cs="Arial"/>
                <w:b/>
                <w:color w:val="FFFFFF" w:themeColor="background1"/>
                <w:sz w:val="22"/>
                <w:szCs w:val="22"/>
              </w:rPr>
              <w:t>University</w:t>
            </w:r>
          </w:p>
        </w:tc>
      </w:tr>
      <w:tr w:rsidR="00697239" w:rsidRPr="00697239" w14:paraId="5AAF5AE4" w14:textId="77777777" w:rsidTr="00697239">
        <w:tc>
          <w:tcPr>
            <w:tcW w:w="3402" w:type="dxa"/>
            <w:vMerge/>
            <w:shd w:val="clear" w:color="auto" w:fill="A6A6A6" w:themeFill="background1" w:themeFillShade="A6"/>
          </w:tcPr>
          <w:p w14:paraId="684979E9" w14:textId="085CD61B" w:rsidR="00697239" w:rsidRPr="00697239" w:rsidRDefault="00697239" w:rsidP="00697239">
            <w:pPr>
              <w:spacing w:before="60" w:line="360" w:lineRule="auto"/>
              <w:ind w:left="357"/>
              <w:rPr>
                <w:rFonts w:ascii="Arial" w:hAnsi="Arial" w:cs="Arial"/>
                <w:b/>
                <w:color w:val="FFFFFF" w:themeColor="background1"/>
                <w:sz w:val="22"/>
                <w:szCs w:val="22"/>
              </w:rPr>
            </w:pPr>
          </w:p>
        </w:tc>
        <w:tc>
          <w:tcPr>
            <w:tcW w:w="1559" w:type="dxa"/>
            <w:shd w:val="clear" w:color="auto" w:fill="A6A6A6" w:themeFill="background1" w:themeFillShade="A6"/>
          </w:tcPr>
          <w:p w14:paraId="65D6BE21" w14:textId="3E44A633" w:rsidR="00697239" w:rsidRPr="00697239" w:rsidRDefault="00697239" w:rsidP="00697239">
            <w:pPr>
              <w:spacing w:before="60" w:line="360" w:lineRule="auto"/>
              <w:jc w:val="center"/>
              <w:rPr>
                <w:rFonts w:ascii="Arial" w:hAnsi="Arial" w:cs="Arial"/>
                <w:b/>
                <w:color w:val="FFFFFF" w:themeColor="background1"/>
                <w:sz w:val="22"/>
                <w:szCs w:val="22"/>
              </w:rPr>
            </w:pPr>
            <w:r w:rsidRPr="00697239">
              <w:rPr>
                <w:rFonts w:ascii="Arial" w:hAnsi="Arial" w:cs="Arial"/>
                <w:b/>
                <w:color w:val="FFFFFF" w:themeColor="background1"/>
                <w:sz w:val="22"/>
                <w:szCs w:val="22"/>
              </w:rPr>
              <w:t>2020-21</w:t>
            </w:r>
          </w:p>
        </w:tc>
        <w:tc>
          <w:tcPr>
            <w:tcW w:w="1134" w:type="dxa"/>
            <w:shd w:val="clear" w:color="auto" w:fill="A6A6A6" w:themeFill="background1" w:themeFillShade="A6"/>
          </w:tcPr>
          <w:p w14:paraId="7A48D3B3" w14:textId="0D15FDE8" w:rsidR="00697239" w:rsidRPr="00697239" w:rsidRDefault="00697239" w:rsidP="00697239">
            <w:pPr>
              <w:spacing w:before="60" w:line="360" w:lineRule="auto"/>
              <w:jc w:val="center"/>
              <w:rPr>
                <w:rFonts w:ascii="Arial" w:hAnsi="Arial" w:cs="Arial"/>
                <w:b/>
                <w:color w:val="FFFFFF" w:themeColor="background1"/>
                <w:sz w:val="22"/>
                <w:szCs w:val="22"/>
              </w:rPr>
            </w:pPr>
            <w:r w:rsidRPr="00697239">
              <w:rPr>
                <w:rFonts w:ascii="Arial" w:hAnsi="Arial" w:cs="Arial"/>
                <w:b/>
                <w:color w:val="FFFFFF" w:themeColor="background1"/>
                <w:sz w:val="22"/>
                <w:szCs w:val="22"/>
              </w:rPr>
              <w:t>2021-22</w:t>
            </w:r>
          </w:p>
        </w:tc>
        <w:tc>
          <w:tcPr>
            <w:tcW w:w="1276" w:type="dxa"/>
            <w:shd w:val="clear" w:color="auto" w:fill="A6A6A6" w:themeFill="background1" w:themeFillShade="A6"/>
          </w:tcPr>
          <w:p w14:paraId="56EE6074" w14:textId="6DE9590D" w:rsidR="00697239" w:rsidRPr="00697239" w:rsidRDefault="00697239" w:rsidP="00697239">
            <w:pPr>
              <w:spacing w:before="60" w:line="360" w:lineRule="auto"/>
              <w:jc w:val="center"/>
              <w:rPr>
                <w:rFonts w:ascii="Arial" w:hAnsi="Arial" w:cs="Arial"/>
                <w:b/>
                <w:color w:val="FFFFFF" w:themeColor="background1"/>
                <w:sz w:val="22"/>
                <w:szCs w:val="22"/>
              </w:rPr>
            </w:pPr>
            <w:r w:rsidRPr="00697239">
              <w:rPr>
                <w:rFonts w:ascii="Arial" w:hAnsi="Arial" w:cs="Arial"/>
                <w:b/>
                <w:color w:val="FFFFFF" w:themeColor="background1"/>
                <w:sz w:val="22"/>
                <w:szCs w:val="22"/>
              </w:rPr>
              <w:t>2020-21</w:t>
            </w:r>
          </w:p>
        </w:tc>
        <w:tc>
          <w:tcPr>
            <w:tcW w:w="1276" w:type="dxa"/>
            <w:shd w:val="clear" w:color="auto" w:fill="A6A6A6" w:themeFill="background1" w:themeFillShade="A6"/>
          </w:tcPr>
          <w:p w14:paraId="11F727AC" w14:textId="416375AA" w:rsidR="00697239" w:rsidRPr="00697239" w:rsidRDefault="00697239" w:rsidP="00697239">
            <w:pPr>
              <w:spacing w:before="60" w:line="360" w:lineRule="auto"/>
              <w:jc w:val="center"/>
              <w:rPr>
                <w:rFonts w:ascii="Arial" w:hAnsi="Arial" w:cs="Arial"/>
                <w:b/>
                <w:color w:val="FFFFFF" w:themeColor="background1"/>
                <w:sz w:val="22"/>
                <w:szCs w:val="22"/>
              </w:rPr>
            </w:pPr>
            <w:r w:rsidRPr="00697239">
              <w:rPr>
                <w:rFonts w:ascii="Arial" w:hAnsi="Arial" w:cs="Arial"/>
                <w:b/>
                <w:color w:val="FFFFFF" w:themeColor="background1"/>
                <w:sz w:val="22"/>
                <w:szCs w:val="22"/>
              </w:rPr>
              <w:t>2019-20</w:t>
            </w:r>
          </w:p>
        </w:tc>
        <w:tc>
          <w:tcPr>
            <w:tcW w:w="1276" w:type="dxa"/>
            <w:shd w:val="clear" w:color="auto" w:fill="A6A6A6" w:themeFill="background1" w:themeFillShade="A6"/>
          </w:tcPr>
          <w:p w14:paraId="51B9A9AE" w14:textId="08FE5954" w:rsidR="00697239" w:rsidRPr="00697239" w:rsidRDefault="00697239" w:rsidP="00697239">
            <w:pPr>
              <w:spacing w:before="60" w:line="360" w:lineRule="auto"/>
              <w:jc w:val="center"/>
              <w:rPr>
                <w:rFonts w:ascii="Arial" w:hAnsi="Arial" w:cs="Arial"/>
                <w:b/>
                <w:color w:val="FFFFFF" w:themeColor="background1"/>
                <w:sz w:val="22"/>
                <w:szCs w:val="22"/>
              </w:rPr>
            </w:pPr>
            <w:r w:rsidRPr="00697239">
              <w:rPr>
                <w:rFonts w:ascii="Arial" w:hAnsi="Arial" w:cs="Arial"/>
                <w:b/>
                <w:color w:val="FFFFFF" w:themeColor="background1"/>
                <w:sz w:val="22"/>
                <w:szCs w:val="22"/>
              </w:rPr>
              <w:t>2018-19</w:t>
            </w:r>
          </w:p>
        </w:tc>
      </w:tr>
      <w:tr w:rsidR="00043CC9" w:rsidRPr="00697239" w14:paraId="65B27D55" w14:textId="77777777" w:rsidTr="00697239">
        <w:tc>
          <w:tcPr>
            <w:tcW w:w="3402" w:type="dxa"/>
          </w:tcPr>
          <w:p w14:paraId="041AFDB3" w14:textId="77777777" w:rsidR="00043CC9" w:rsidRPr="00697239" w:rsidRDefault="00043CC9" w:rsidP="00697239">
            <w:pPr>
              <w:spacing w:before="60" w:line="360" w:lineRule="auto"/>
              <w:ind w:firstLine="27"/>
              <w:rPr>
                <w:rFonts w:ascii="Arial" w:hAnsi="Arial" w:cs="Arial"/>
                <w:sz w:val="22"/>
                <w:szCs w:val="22"/>
              </w:rPr>
            </w:pPr>
            <w:r w:rsidRPr="00697239">
              <w:rPr>
                <w:rFonts w:ascii="Arial" w:hAnsi="Arial" w:cs="Arial"/>
                <w:sz w:val="22"/>
                <w:szCs w:val="22"/>
              </w:rPr>
              <w:t>HoI Basic Salary and Median Pay of all staff in UE, UECS, WHH</w:t>
            </w:r>
          </w:p>
        </w:tc>
        <w:tc>
          <w:tcPr>
            <w:tcW w:w="1559" w:type="dxa"/>
          </w:tcPr>
          <w:p w14:paraId="1A8362C5"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6.8</w:t>
            </w:r>
          </w:p>
        </w:tc>
        <w:tc>
          <w:tcPr>
            <w:tcW w:w="1134" w:type="dxa"/>
          </w:tcPr>
          <w:p w14:paraId="3D70CF85"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9.30</w:t>
            </w:r>
          </w:p>
        </w:tc>
        <w:tc>
          <w:tcPr>
            <w:tcW w:w="1276" w:type="dxa"/>
          </w:tcPr>
          <w:p w14:paraId="2BD604BF"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9.58</w:t>
            </w:r>
          </w:p>
        </w:tc>
        <w:tc>
          <w:tcPr>
            <w:tcW w:w="1276" w:type="dxa"/>
          </w:tcPr>
          <w:p w14:paraId="4C80EEA6"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11.2</w:t>
            </w:r>
          </w:p>
        </w:tc>
        <w:tc>
          <w:tcPr>
            <w:tcW w:w="1276" w:type="dxa"/>
          </w:tcPr>
          <w:p w14:paraId="0950394A"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11.77</w:t>
            </w:r>
          </w:p>
        </w:tc>
      </w:tr>
      <w:tr w:rsidR="00043CC9" w:rsidRPr="00697239" w14:paraId="463DA6E6" w14:textId="77777777" w:rsidTr="00697239">
        <w:tc>
          <w:tcPr>
            <w:tcW w:w="3402" w:type="dxa"/>
          </w:tcPr>
          <w:p w14:paraId="0B7F2197" w14:textId="77777777" w:rsidR="00043CC9" w:rsidRPr="00697239" w:rsidRDefault="00043CC9" w:rsidP="00697239">
            <w:pPr>
              <w:spacing w:before="60" w:line="360" w:lineRule="auto"/>
              <w:ind w:firstLine="27"/>
              <w:rPr>
                <w:rFonts w:ascii="Arial" w:hAnsi="Arial" w:cs="Arial"/>
                <w:sz w:val="22"/>
                <w:szCs w:val="22"/>
              </w:rPr>
            </w:pPr>
            <w:r w:rsidRPr="00697239">
              <w:rPr>
                <w:rFonts w:ascii="Arial" w:hAnsi="Arial" w:cs="Arial"/>
                <w:sz w:val="22"/>
                <w:szCs w:val="22"/>
              </w:rPr>
              <w:t>HoI Total Remuneration and Median Remuneration of all staff in UE, UECS, WHH</w:t>
            </w:r>
          </w:p>
        </w:tc>
        <w:tc>
          <w:tcPr>
            <w:tcW w:w="1559" w:type="dxa"/>
          </w:tcPr>
          <w:p w14:paraId="27384D10"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7.2</w:t>
            </w:r>
          </w:p>
        </w:tc>
        <w:tc>
          <w:tcPr>
            <w:tcW w:w="1134" w:type="dxa"/>
          </w:tcPr>
          <w:p w14:paraId="35F122EC"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10.89</w:t>
            </w:r>
          </w:p>
        </w:tc>
        <w:tc>
          <w:tcPr>
            <w:tcW w:w="1276" w:type="dxa"/>
          </w:tcPr>
          <w:p w14:paraId="7ED595D7"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11.06</w:t>
            </w:r>
          </w:p>
        </w:tc>
        <w:tc>
          <w:tcPr>
            <w:tcW w:w="1276" w:type="dxa"/>
          </w:tcPr>
          <w:p w14:paraId="62E25EB3"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12.83</w:t>
            </w:r>
          </w:p>
        </w:tc>
        <w:tc>
          <w:tcPr>
            <w:tcW w:w="1276" w:type="dxa"/>
          </w:tcPr>
          <w:p w14:paraId="2157F423"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14.22</w:t>
            </w:r>
          </w:p>
        </w:tc>
      </w:tr>
      <w:tr w:rsidR="00043CC9" w:rsidRPr="00697239" w14:paraId="72812025" w14:textId="77777777" w:rsidTr="00697239">
        <w:tc>
          <w:tcPr>
            <w:tcW w:w="3402" w:type="dxa"/>
          </w:tcPr>
          <w:p w14:paraId="4638AAA2" w14:textId="77777777" w:rsidR="00043CC9" w:rsidRPr="00697239" w:rsidRDefault="00043CC9" w:rsidP="00697239">
            <w:pPr>
              <w:spacing w:before="60" w:line="360" w:lineRule="auto"/>
              <w:ind w:firstLine="27"/>
              <w:rPr>
                <w:rFonts w:ascii="Arial" w:hAnsi="Arial" w:cs="Arial"/>
                <w:sz w:val="22"/>
                <w:szCs w:val="22"/>
              </w:rPr>
            </w:pPr>
            <w:r w:rsidRPr="00697239">
              <w:rPr>
                <w:rFonts w:ascii="Arial" w:hAnsi="Arial" w:cs="Arial"/>
                <w:sz w:val="22"/>
                <w:szCs w:val="22"/>
              </w:rPr>
              <w:t>HoI Basic Salary and Median Pay of all staff University of Essex only</w:t>
            </w:r>
          </w:p>
        </w:tc>
        <w:tc>
          <w:tcPr>
            <w:tcW w:w="1559" w:type="dxa"/>
          </w:tcPr>
          <w:p w14:paraId="06F6E3F8"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Not Available</w:t>
            </w:r>
          </w:p>
        </w:tc>
        <w:tc>
          <w:tcPr>
            <w:tcW w:w="1134" w:type="dxa"/>
          </w:tcPr>
          <w:p w14:paraId="48944FC6"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8.83</w:t>
            </w:r>
          </w:p>
        </w:tc>
        <w:tc>
          <w:tcPr>
            <w:tcW w:w="1276" w:type="dxa"/>
          </w:tcPr>
          <w:p w14:paraId="7CC53EFC"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9.58</w:t>
            </w:r>
          </w:p>
        </w:tc>
        <w:tc>
          <w:tcPr>
            <w:tcW w:w="1276" w:type="dxa"/>
          </w:tcPr>
          <w:p w14:paraId="360E4481"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8.7</w:t>
            </w:r>
          </w:p>
        </w:tc>
        <w:tc>
          <w:tcPr>
            <w:tcW w:w="1276" w:type="dxa"/>
          </w:tcPr>
          <w:p w14:paraId="5C66E58C" w14:textId="77777777" w:rsidR="00043CC9" w:rsidRPr="00697239" w:rsidRDefault="00043CC9" w:rsidP="00697239">
            <w:pPr>
              <w:spacing w:before="60" w:line="360" w:lineRule="auto"/>
              <w:jc w:val="center"/>
              <w:rPr>
                <w:rFonts w:ascii="Arial" w:hAnsi="Arial" w:cs="Arial"/>
                <w:sz w:val="22"/>
                <w:szCs w:val="22"/>
              </w:rPr>
            </w:pPr>
            <w:r w:rsidRPr="00697239">
              <w:rPr>
                <w:rFonts w:ascii="Arial" w:hAnsi="Arial" w:cs="Arial"/>
                <w:sz w:val="22"/>
                <w:szCs w:val="22"/>
              </w:rPr>
              <w:t>11.10</w:t>
            </w:r>
          </w:p>
        </w:tc>
      </w:tr>
    </w:tbl>
    <w:p w14:paraId="0B5A9B9A" w14:textId="12A9E843" w:rsidR="0099089F" w:rsidRDefault="00BF3E95" w:rsidP="00D37093">
      <w:pPr>
        <w:pStyle w:val="ListParagraph"/>
        <w:numPr>
          <w:ilvl w:val="0"/>
          <w:numId w:val="7"/>
        </w:numPr>
        <w:spacing w:before="240" w:after="240" w:line="360" w:lineRule="auto"/>
        <w:ind w:left="357" w:right="799" w:hanging="357"/>
        <w:contextualSpacing w:val="0"/>
        <w:rPr>
          <w:rFonts w:ascii="Arial" w:hAnsi="Arial" w:cs="Arial"/>
          <w:sz w:val="24"/>
          <w:szCs w:val="24"/>
        </w:rPr>
      </w:pPr>
      <w:r w:rsidRPr="0053048A">
        <w:rPr>
          <w:rFonts w:ascii="Arial" w:hAnsi="Arial" w:cs="Arial"/>
          <w:sz w:val="24"/>
          <w:szCs w:val="24"/>
        </w:rPr>
        <w:t xml:space="preserve">Full details of the Vice-Chancellor’s Remuneration are published in the annual </w:t>
      </w:r>
      <w:hyperlink r:id="rId9" w:history="1">
        <w:r w:rsidRPr="0053048A">
          <w:rPr>
            <w:rStyle w:val="Hyperlink"/>
            <w:rFonts w:ascii="Arial" w:hAnsi="Arial" w:cs="Arial"/>
            <w:sz w:val="24"/>
            <w:szCs w:val="24"/>
          </w:rPr>
          <w:t>financial statements</w:t>
        </w:r>
      </w:hyperlink>
      <w:r w:rsidRPr="0053048A">
        <w:rPr>
          <w:rFonts w:ascii="Arial" w:hAnsi="Arial" w:cs="Arial"/>
          <w:sz w:val="24"/>
          <w:szCs w:val="24"/>
        </w:rPr>
        <w:t>.</w:t>
      </w:r>
      <w:r w:rsidR="00E9474B">
        <w:rPr>
          <w:rFonts w:ascii="Arial" w:hAnsi="Arial" w:cs="Arial"/>
          <w:sz w:val="24"/>
          <w:szCs w:val="24"/>
        </w:rPr>
        <w:t xml:space="preserve">  In the 2021-22 academic year, the Vice-Chancellor’s salary was £309,941. </w:t>
      </w:r>
    </w:p>
    <w:p w14:paraId="25B40936" w14:textId="78058F11" w:rsidR="0099089F" w:rsidRDefault="0099089F" w:rsidP="00D37093">
      <w:pPr>
        <w:pStyle w:val="ListParagraph"/>
        <w:numPr>
          <w:ilvl w:val="0"/>
          <w:numId w:val="7"/>
        </w:numPr>
        <w:spacing w:before="120" w:after="240" w:line="360" w:lineRule="auto"/>
        <w:ind w:left="357" w:right="799" w:hanging="357"/>
        <w:contextualSpacing w:val="0"/>
        <w:rPr>
          <w:rFonts w:ascii="Arial" w:hAnsi="Arial" w:cs="Arial"/>
          <w:bCs/>
          <w:sz w:val="24"/>
          <w:szCs w:val="24"/>
        </w:rPr>
      </w:pPr>
      <w:r w:rsidRPr="0099089F">
        <w:rPr>
          <w:rFonts w:ascii="Arial" w:hAnsi="Arial" w:cs="Arial"/>
          <w:bCs/>
          <w:sz w:val="24"/>
          <w:szCs w:val="24"/>
        </w:rPr>
        <w:t>In relation to performance against KPIs, Remuneration Committee noted the change to Times Good University Guide criteria (</w:t>
      </w:r>
      <w:r w:rsidR="003555CC">
        <w:rPr>
          <w:rFonts w:ascii="Arial" w:hAnsi="Arial" w:cs="Arial"/>
          <w:bCs/>
          <w:sz w:val="24"/>
          <w:szCs w:val="24"/>
        </w:rPr>
        <w:t xml:space="preserve">with the removal of </w:t>
      </w:r>
      <w:r w:rsidRPr="0099089F">
        <w:rPr>
          <w:rFonts w:ascii="Arial" w:hAnsi="Arial" w:cs="Arial"/>
          <w:bCs/>
          <w:sz w:val="24"/>
          <w:szCs w:val="24"/>
        </w:rPr>
        <w:t>facilities spend</w:t>
      </w:r>
      <w:r w:rsidR="003555CC">
        <w:rPr>
          <w:rFonts w:ascii="Arial" w:hAnsi="Arial" w:cs="Arial"/>
          <w:bCs/>
          <w:sz w:val="24"/>
          <w:szCs w:val="24"/>
        </w:rPr>
        <w:t xml:space="preserve"> per FTE student as a measure within the guide</w:t>
      </w:r>
      <w:r w:rsidRPr="0099089F">
        <w:rPr>
          <w:rFonts w:ascii="Arial" w:hAnsi="Arial" w:cs="Arial"/>
          <w:bCs/>
          <w:sz w:val="24"/>
          <w:szCs w:val="24"/>
        </w:rPr>
        <w:t>)</w:t>
      </w:r>
      <w:r w:rsidR="001376D6">
        <w:rPr>
          <w:rFonts w:ascii="Arial" w:hAnsi="Arial" w:cs="Arial"/>
          <w:bCs/>
          <w:sz w:val="24"/>
          <w:szCs w:val="24"/>
        </w:rPr>
        <w:t>, which had</w:t>
      </w:r>
      <w:r w:rsidRPr="0099089F">
        <w:rPr>
          <w:rFonts w:ascii="Arial" w:hAnsi="Arial" w:cs="Arial"/>
          <w:bCs/>
          <w:sz w:val="24"/>
          <w:szCs w:val="24"/>
        </w:rPr>
        <w:t xml:space="preserve"> impact</w:t>
      </w:r>
      <w:r w:rsidR="001376D6">
        <w:rPr>
          <w:rFonts w:ascii="Arial" w:hAnsi="Arial" w:cs="Arial"/>
          <w:bCs/>
          <w:sz w:val="24"/>
          <w:szCs w:val="24"/>
        </w:rPr>
        <w:t>ed</w:t>
      </w:r>
      <w:r w:rsidRPr="0099089F">
        <w:rPr>
          <w:rFonts w:ascii="Arial" w:hAnsi="Arial" w:cs="Arial"/>
          <w:bCs/>
          <w:sz w:val="24"/>
          <w:szCs w:val="24"/>
        </w:rPr>
        <w:t xml:space="preserve"> the University’s </w:t>
      </w:r>
      <w:r w:rsidR="003555CC">
        <w:rPr>
          <w:rFonts w:ascii="Arial" w:hAnsi="Arial" w:cs="Arial"/>
          <w:bCs/>
          <w:sz w:val="24"/>
          <w:szCs w:val="24"/>
        </w:rPr>
        <w:t>ranking</w:t>
      </w:r>
      <w:r w:rsidRPr="0099089F">
        <w:rPr>
          <w:rFonts w:ascii="Arial" w:hAnsi="Arial" w:cs="Arial"/>
          <w:bCs/>
          <w:sz w:val="24"/>
          <w:szCs w:val="24"/>
        </w:rPr>
        <w:t xml:space="preserve">. Across </w:t>
      </w:r>
      <w:r w:rsidR="00CB0098">
        <w:rPr>
          <w:rFonts w:ascii="Arial" w:hAnsi="Arial" w:cs="Arial"/>
          <w:bCs/>
          <w:sz w:val="24"/>
          <w:szCs w:val="24"/>
        </w:rPr>
        <w:t xml:space="preserve">the remaining measures within the TGUG, all 6 measures relating to student satisfaction and student outcomes had recorded improvements in performance.  The ranking achieved against the research measure within the TGUG reflected the University’s strategy of prioritising improvements in research power over Grade Point Average (used by the TGUG as the measure of research quality).  </w:t>
      </w:r>
    </w:p>
    <w:p w14:paraId="24627329" w14:textId="430425D1" w:rsidR="0099089F" w:rsidRPr="0099089F" w:rsidRDefault="0099089F" w:rsidP="00D37093">
      <w:pPr>
        <w:pStyle w:val="ListParagraph"/>
        <w:numPr>
          <w:ilvl w:val="0"/>
          <w:numId w:val="7"/>
        </w:numPr>
        <w:spacing w:before="120" w:after="240" w:line="360" w:lineRule="auto"/>
        <w:ind w:left="357" w:right="799" w:hanging="357"/>
        <w:contextualSpacing w:val="0"/>
        <w:rPr>
          <w:rFonts w:ascii="Arial" w:hAnsi="Arial" w:cs="Arial"/>
          <w:b/>
          <w:bCs/>
          <w:sz w:val="24"/>
          <w:szCs w:val="24"/>
        </w:rPr>
      </w:pPr>
      <w:r w:rsidRPr="0099089F">
        <w:rPr>
          <w:rFonts w:ascii="Arial" w:hAnsi="Arial" w:cs="Arial"/>
          <w:sz w:val="24"/>
          <w:szCs w:val="24"/>
        </w:rPr>
        <w:t xml:space="preserve">The Committee agreed </w:t>
      </w:r>
      <w:r w:rsidR="00CB3777" w:rsidRPr="0099089F">
        <w:rPr>
          <w:rFonts w:ascii="Arial" w:hAnsi="Arial" w:cs="Arial"/>
          <w:sz w:val="24"/>
          <w:szCs w:val="24"/>
        </w:rPr>
        <w:t xml:space="preserve">that </w:t>
      </w:r>
      <w:r w:rsidRPr="0099089F">
        <w:rPr>
          <w:rFonts w:ascii="Arial" w:hAnsi="Arial" w:cs="Arial"/>
          <w:sz w:val="24"/>
          <w:szCs w:val="24"/>
        </w:rPr>
        <w:t xml:space="preserve">in this context </w:t>
      </w:r>
      <w:r w:rsidR="00CB3777" w:rsidRPr="0099089F">
        <w:rPr>
          <w:rFonts w:ascii="Arial" w:hAnsi="Arial" w:cs="Arial"/>
          <w:sz w:val="24"/>
          <w:szCs w:val="24"/>
        </w:rPr>
        <w:t>the performance of the Vice-Chancello</w:t>
      </w:r>
      <w:r w:rsidRPr="0099089F">
        <w:rPr>
          <w:rFonts w:ascii="Arial" w:hAnsi="Arial" w:cs="Arial"/>
          <w:sz w:val="24"/>
          <w:szCs w:val="24"/>
        </w:rPr>
        <w:t xml:space="preserve">r </w:t>
      </w:r>
      <w:r w:rsidR="00CB0098">
        <w:rPr>
          <w:rFonts w:ascii="Arial" w:hAnsi="Arial" w:cs="Arial"/>
          <w:sz w:val="24"/>
          <w:szCs w:val="24"/>
        </w:rPr>
        <w:t>and his leaders</w:t>
      </w:r>
      <w:r w:rsidR="00034C13">
        <w:rPr>
          <w:rFonts w:ascii="Arial" w:hAnsi="Arial" w:cs="Arial"/>
          <w:sz w:val="24"/>
          <w:szCs w:val="24"/>
        </w:rPr>
        <w:t>h</w:t>
      </w:r>
      <w:r w:rsidR="00CB0098">
        <w:rPr>
          <w:rFonts w:ascii="Arial" w:hAnsi="Arial" w:cs="Arial"/>
          <w:sz w:val="24"/>
          <w:szCs w:val="24"/>
        </w:rPr>
        <w:t xml:space="preserve">ip </w:t>
      </w:r>
      <w:r w:rsidR="00034C13">
        <w:rPr>
          <w:rFonts w:ascii="Arial" w:hAnsi="Arial" w:cs="Arial"/>
          <w:sz w:val="24"/>
          <w:szCs w:val="24"/>
        </w:rPr>
        <w:t xml:space="preserve">of the University </w:t>
      </w:r>
      <w:r w:rsidRPr="0099089F">
        <w:rPr>
          <w:rFonts w:ascii="Arial" w:hAnsi="Arial" w:cs="Arial"/>
          <w:sz w:val="24"/>
          <w:szCs w:val="24"/>
        </w:rPr>
        <w:t xml:space="preserve">had </w:t>
      </w:r>
      <w:r w:rsidR="00CB0098">
        <w:rPr>
          <w:rFonts w:ascii="Arial" w:hAnsi="Arial" w:cs="Arial"/>
          <w:sz w:val="24"/>
          <w:szCs w:val="24"/>
        </w:rPr>
        <w:t xml:space="preserve">continued to be </w:t>
      </w:r>
      <w:r w:rsidRPr="0099089F">
        <w:rPr>
          <w:rFonts w:ascii="Arial" w:hAnsi="Arial" w:cs="Arial"/>
          <w:sz w:val="24"/>
          <w:szCs w:val="24"/>
        </w:rPr>
        <w:t>excellent.</w:t>
      </w:r>
    </w:p>
    <w:p w14:paraId="57AAE212" w14:textId="5C7058B3" w:rsidR="004236CF" w:rsidRPr="001376D6" w:rsidRDefault="004236CF" w:rsidP="001376D6">
      <w:pPr>
        <w:spacing w:before="120" w:after="120" w:line="360" w:lineRule="auto"/>
        <w:rPr>
          <w:rFonts w:ascii="Arial" w:hAnsi="Arial" w:cs="Arial"/>
        </w:rPr>
      </w:pPr>
      <w:r w:rsidRPr="001376D6">
        <w:rPr>
          <w:rFonts w:ascii="Arial" w:hAnsi="Arial" w:cs="Arial"/>
          <w:b/>
          <w:bCs/>
        </w:rPr>
        <w:lastRenderedPageBreak/>
        <w:t>Remuneration of other post-holders with the remit of the Committee</w:t>
      </w:r>
    </w:p>
    <w:p w14:paraId="25F66820" w14:textId="548FC25F" w:rsidR="004236CF" w:rsidRDefault="004236CF" w:rsidP="00697239">
      <w:pPr>
        <w:pStyle w:val="ListParagraph"/>
        <w:numPr>
          <w:ilvl w:val="0"/>
          <w:numId w:val="7"/>
        </w:numPr>
        <w:spacing w:before="120" w:after="120" w:line="360" w:lineRule="auto"/>
        <w:ind w:left="357" w:right="799" w:hanging="357"/>
        <w:contextualSpacing w:val="0"/>
        <w:rPr>
          <w:rFonts w:ascii="Arial" w:hAnsi="Arial" w:cs="Arial"/>
          <w:sz w:val="24"/>
          <w:szCs w:val="24"/>
        </w:rPr>
      </w:pPr>
      <w:r w:rsidRPr="00697239">
        <w:rPr>
          <w:rFonts w:ascii="Arial" w:hAnsi="Arial" w:cs="Arial"/>
          <w:bCs/>
          <w:sz w:val="24"/>
          <w:szCs w:val="24"/>
        </w:rPr>
        <w:t>In</w:t>
      </w:r>
      <w:r>
        <w:rPr>
          <w:rFonts w:ascii="Arial" w:hAnsi="Arial" w:cs="Arial"/>
          <w:sz w:val="24"/>
          <w:szCs w:val="24"/>
        </w:rPr>
        <w:t xml:space="preserve"> addition to reviewing, at its meeting on 27 June 2022, the outcomes of the annual review process for staff in grades 1 – </w:t>
      </w:r>
      <w:r w:rsidR="005C5FCE">
        <w:rPr>
          <w:rFonts w:ascii="Arial" w:hAnsi="Arial" w:cs="Arial"/>
          <w:sz w:val="24"/>
          <w:szCs w:val="24"/>
        </w:rPr>
        <w:t>10 and grade 11 Professors, at</w:t>
      </w:r>
      <w:r>
        <w:rPr>
          <w:rFonts w:ascii="Arial" w:hAnsi="Arial" w:cs="Arial"/>
          <w:sz w:val="24"/>
          <w:szCs w:val="24"/>
        </w:rPr>
        <w:t xml:space="preserve"> its meeting on 31 October 2022 the Committee endorsed recommendations that resulted in the following outcomes to post-holders within the remit of Remuneration Committee:</w:t>
      </w:r>
    </w:p>
    <w:p w14:paraId="2CD0B674" w14:textId="6BF02296" w:rsidR="004236CF" w:rsidRDefault="004236CF" w:rsidP="001376D6">
      <w:pPr>
        <w:pStyle w:val="ListParagraph"/>
        <w:numPr>
          <w:ilvl w:val="0"/>
          <w:numId w:val="9"/>
        </w:numPr>
        <w:spacing w:before="120" w:after="120" w:line="360" w:lineRule="auto"/>
        <w:ind w:right="1084"/>
        <w:contextualSpacing w:val="0"/>
        <w:rPr>
          <w:rFonts w:ascii="Arial" w:hAnsi="Arial" w:cs="Arial"/>
          <w:sz w:val="24"/>
          <w:szCs w:val="24"/>
        </w:rPr>
      </w:pPr>
      <w:r>
        <w:rPr>
          <w:rFonts w:ascii="Arial" w:hAnsi="Arial" w:cs="Arial"/>
          <w:sz w:val="24"/>
          <w:szCs w:val="24"/>
        </w:rPr>
        <w:t xml:space="preserve">The award of discretionary increments to </w:t>
      </w:r>
      <w:r w:rsidR="005C5FCE">
        <w:rPr>
          <w:rFonts w:ascii="Arial" w:hAnsi="Arial" w:cs="Arial"/>
          <w:sz w:val="24"/>
          <w:szCs w:val="24"/>
        </w:rPr>
        <w:t>twenty</w:t>
      </w:r>
      <w:r>
        <w:rPr>
          <w:rFonts w:ascii="Arial" w:hAnsi="Arial" w:cs="Arial"/>
          <w:sz w:val="24"/>
          <w:szCs w:val="24"/>
        </w:rPr>
        <w:t xml:space="preserve"> members of staff</w:t>
      </w:r>
      <w:r w:rsidR="00D37093">
        <w:rPr>
          <w:rFonts w:ascii="Arial" w:hAnsi="Arial" w:cs="Arial"/>
          <w:sz w:val="24"/>
          <w:szCs w:val="24"/>
        </w:rPr>
        <w:t>.</w:t>
      </w:r>
    </w:p>
    <w:p w14:paraId="7664EE6F" w14:textId="744973B4" w:rsidR="004236CF" w:rsidRPr="001376D6" w:rsidRDefault="004236CF" w:rsidP="00D37093">
      <w:pPr>
        <w:pStyle w:val="ListParagraph"/>
        <w:numPr>
          <w:ilvl w:val="0"/>
          <w:numId w:val="9"/>
        </w:numPr>
        <w:spacing w:before="120" w:after="240" w:line="360" w:lineRule="auto"/>
        <w:ind w:right="1084"/>
        <w:contextualSpacing w:val="0"/>
        <w:rPr>
          <w:rFonts w:ascii="Arial" w:hAnsi="Arial" w:cs="Arial"/>
          <w:sz w:val="24"/>
          <w:szCs w:val="24"/>
        </w:rPr>
      </w:pPr>
      <w:r>
        <w:rPr>
          <w:rFonts w:ascii="Arial" w:hAnsi="Arial" w:cs="Arial"/>
          <w:sz w:val="24"/>
          <w:szCs w:val="24"/>
        </w:rPr>
        <w:t xml:space="preserve">The award of one-off bonus payments to </w:t>
      </w:r>
      <w:r w:rsidR="005C5FCE">
        <w:rPr>
          <w:rFonts w:ascii="Arial" w:hAnsi="Arial" w:cs="Arial"/>
          <w:sz w:val="24"/>
          <w:szCs w:val="24"/>
        </w:rPr>
        <w:t>one</w:t>
      </w:r>
      <w:r>
        <w:rPr>
          <w:rFonts w:ascii="Arial" w:hAnsi="Arial" w:cs="Arial"/>
          <w:sz w:val="24"/>
          <w:szCs w:val="24"/>
        </w:rPr>
        <w:t xml:space="preserve"> member of staff. </w:t>
      </w:r>
    </w:p>
    <w:p w14:paraId="38DDEED5" w14:textId="507195BF" w:rsidR="0099089F" w:rsidRPr="001376D6" w:rsidRDefault="003555CC" w:rsidP="001376D6">
      <w:pPr>
        <w:spacing w:before="120" w:after="120" w:line="360" w:lineRule="auto"/>
        <w:rPr>
          <w:rFonts w:ascii="Arial" w:hAnsi="Arial" w:cs="Arial"/>
        </w:rPr>
      </w:pPr>
      <w:r w:rsidRPr="001376D6">
        <w:rPr>
          <w:rFonts w:ascii="Arial" w:hAnsi="Arial" w:cs="Arial"/>
          <w:b/>
          <w:bCs/>
        </w:rPr>
        <w:t>Remuneration of the Registrar and Secretary</w:t>
      </w:r>
    </w:p>
    <w:p w14:paraId="3B000DD8" w14:textId="40E8C384" w:rsidR="003555CC" w:rsidRPr="001376D6" w:rsidRDefault="00034C13" w:rsidP="00D37093">
      <w:pPr>
        <w:pStyle w:val="ListParagraph"/>
        <w:numPr>
          <w:ilvl w:val="0"/>
          <w:numId w:val="7"/>
        </w:numPr>
        <w:spacing w:before="120" w:after="240" w:line="360" w:lineRule="auto"/>
        <w:ind w:left="357" w:right="799" w:hanging="357"/>
        <w:contextualSpacing w:val="0"/>
        <w:rPr>
          <w:rFonts w:ascii="Arial" w:hAnsi="Arial" w:cs="Arial"/>
          <w:sz w:val="24"/>
          <w:szCs w:val="24"/>
        </w:rPr>
      </w:pPr>
      <w:r w:rsidRPr="00697239">
        <w:rPr>
          <w:rFonts w:ascii="Arial" w:hAnsi="Arial" w:cs="Arial"/>
          <w:bCs/>
          <w:sz w:val="24"/>
          <w:szCs w:val="24"/>
        </w:rPr>
        <w:t>In</w:t>
      </w:r>
      <w:r>
        <w:rPr>
          <w:rFonts w:ascii="Arial" w:hAnsi="Arial" w:cs="Arial"/>
          <w:sz w:val="24"/>
          <w:szCs w:val="24"/>
        </w:rPr>
        <w:t xml:space="preserve"> line with the requirements within the Committee’s terms of reference, the annual report to Council is required to include details of the individual salary of the Registrar and Secretary.  In 202</w:t>
      </w:r>
      <w:r w:rsidR="004236CF">
        <w:rPr>
          <w:rFonts w:ascii="Arial" w:hAnsi="Arial" w:cs="Arial"/>
          <w:sz w:val="24"/>
          <w:szCs w:val="24"/>
        </w:rPr>
        <w:t>1</w:t>
      </w:r>
      <w:r w:rsidR="001376D6">
        <w:rPr>
          <w:rFonts w:ascii="Arial" w:hAnsi="Arial" w:cs="Arial"/>
          <w:sz w:val="24"/>
          <w:szCs w:val="24"/>
        </w:rPr>
        <w:t>-</w:t>
      </w:r>
      <w:r>
        <w:rPr>
          <w:rFonts w:ascii="Arial" w:hAnsi="Arial" w:cs="Arial"/>
          <w:sz w:val="24"/>
          <w:szCs w:val="24"/>
        </w:rPr>
        <w:t>22 this was £</w:t>
      </w:r>
      <w:r w:rsidR="005C5FCE" w:rsidRPr="00D37093">
        <w:rPr>
          <w:rFonts w:ascii="Arial" w:hAnsi="Arial" w:cs="Arial"/>
          <w:sz w:val="24"/>
          <w:szCs w:val="24"/>
        </w:rPr>
        <w:t>183,349 per annum</w:t>
      </w:r>
      <w:r>
        <w:rPr>
          <w:rFonts w:ascii="Arial" w:hAnsi="Arial" w:cs="Arial"/>
          <w:sz w:val="24"/>
          <w:szCs w:val="24"/>
        </w:rPr>
        <w:t xml:space="preserve">.  </w:t>
      </w:r>
    </w:p>
    <w:p w14:paraId="6A0528BB" w14:textId="5364D10C" w:rsidR="00AF797A" w:rsidRPr="0099089F" w:rsidRDefault="00AF797A" w:rsidP="001376D6">
      <w:pPr>
        <w:spacing w:before="120" w:after="120" w:line="360" w:lineRule="auto"/>
        <w:rPr>
          <w:rFonts w:ascii="Arial" w:eastAsiaTheme="minorHAnsi" w:hAnsi="Arial" w:cs="Arial"/>
          <w:b/>
          <w:bCs/>
        </w:rPr>
      </w:pPr>
      <w:r w:rsidRPr="0099089F">
        <w:rPr>
          <w:rFonts w:ascii="Arial" w:eastAsiaTheme="minorHAnsi" w:hAnsi="Arial" w:cs="Arial"/>
          <w:b/>
          <w:bCs/>
        </w:rPr>
        <w:t>External appointments</w:t>
      </w:r>
      <w:r w:rsidR="006345DF" w:rsidRPr="0099089F">
        <w:rPr>
          <w:rFonts w:ascii="Arial" w:eastAsiaTheme="minorHAnsi" w:hAnsi="Arial" w:cs="Arial"/>
          <w:b/>
          <w:bCs/>
        </w:rPr>
        <w:t xml:space="preserve"> and expenses</w:t>
      </w:r>
    </w:p>
    <w:p w14:paraId="5A288710" w14:textId="668ED90E" w:rsidR="006345DF" w:rsidRPr="0099089F" w:rsidRDefault="00AF797A" w:rsidP="00D37093">
      <w:pPr>
        <w:pStyle w:val="ListParagraph"/>
        <w:numPr>
          <w:ilvl w:val="0"/>
          <w:numId w:val="7"/>
        </w:numPr>
        <w:autoSpaceDE w:val="0"/>
        <w:autoSpaceDN w:val="0"/>
        <w:adjustRightInd w:val="0"/>
        <w:spacing w:before="120" w:after="240" w:line="360" w:lineRule="auto"/>
        <w:ind w:right="1084"/>
        <w:contextualSpacing w:val="0"/>
        <w:rPr>
          <w:rFonts w:ascii="Arial" w:hAnsi="Arial" w:cs="Arial"/>
          <w:sz w:val="24"/>
          <w:szCs w:val="24"/>
        </w:rPr>
      </w:pPr>
      <w:r w:rsidRPr="0053048A">
        <w:rPr>
          <w:rFonts w:ascii="Arial" w:hAnsi="Arial" w:cs="Arial"/>
          <w:sz w:val="24"/>
          <w:szCs w:val="24"/>
        </w:rPr>
        <w:t>Under Remuneration Committee’s terms of reference, both the Vice-Chancellor and Registrar</w:t>
      </w:r>
      <w:r w:rsidR="0053048A" w:rsidRPr="0053048A">
        <w:rPr>
          <w:rFonts w:ascii="Arial" w:hAnsi="Arial" w:cs="Arial"/>
          <w:sz w:val="24"/>
          <w:szCs w:val="24"/>
        </w:rPr>
        <w:t xml:space="preserve"> and Secretary</w:t>
      </w:r>
      <w:r w:rsidRPr="0053048A">
        <w:rPr>
          <w:rFonts w:ascii="Arial" w:hAnsi="Arial" w:cs="Arial"/>
          <w:sz w:val="24"/>
          <w:szCs w:val="24"/>
        </w:rPr>
        <w:t xml:space="preserve"> must declare any external paid work to the Committee on an annual basis. There was no income </w:t>
      </w:r>
      <w:r w:rsidR="00552856" w:rsidRPr="0053048A">
        <w:rPr>
          <w:rFonts w:ascii="Arial" w:hAnsi="Arial" w:cs="Arial"/>
          <w:sz w:val="24"/>
          <w:szCs w:val="24"/>
        </w:rPr>
        <w:t>generated from external</w:t>
      </w:r>
      <w:r w:rsidR="0053048A" w:rsidRPr="0053048A">
        <w:rPr>
          <w:rFonts w:ascii="Arial" w:hAnsi="Arial" w:cs="Arial"/>
          <w:sz w:val="24"/>
          <w:szCs w:val="24"/>
        </w:rPr>
        <w:t xml:space="preserve"> bodies</w:t>
      </w:r>
      <w:r w:rsidR="00552856" w:rsidRPr="0053048A">
        <w:rPr>
          <w:rFonts w:ascii="Arial" w:hAnsi="Arial" w:cs="Arial"/>
          <w:sz w:val="24"/>
          <w:szCs w:val="24"/>
        </w:rPr>
        <w:t xml:space="preserve"> in 2021-22.</w:t>
      </w:r>
    </w:p>
    <w:p w14:paraId="217DCBAE" w14:textId="6FD05C0D" w:rsidR="006345DF" w:rsidRDefault="006345DF" w:rsidP="00D37093">
      <w:pPr>
        <w:pStyle w:val="NormalWeb"/>
        <w:numPr>
          <w:ilvl w:val="0"/>
          <w:numId w:val="7"/>
        </w:numPr>
        <w:spacing w:before="120" w:beforeAutospacing="0" w:after="240" w:afterAutospacing="0" w:line="360" w:lineRule="auto"/>
        <w:ind w:right="1084"/>
        <w:rPr>
          <w:rFonts w:ascii="Arial" w:hAnsi="Arial" w:cs="Arial"/>
          <w:color w:val="333333"/>
        </w:rPr>
      </w:pPr>
      <w:r w:rsidRPr="0053048A">
        <w:rPr>
          <w:rFonts w:ascii="Arial" w:hAnsi="Arial" w:cs="Arial"/>
          <w:color w:val="333333"/>
        </w:rPr>
        <w:t xml:space="preserve">The University </w:t>
      </w:r>
      <w:r w:rsidR="00034C13">
        <w:rPr>
          <w:rFonts w:ascii="Arial" w:hAnsi="Arial" w:cs="Arial"/>
          <w:color w:val="333333"/>
        </w:rPr>
        <w:t xml:space="preserve">continues to </w:t>
      </w:r>
      <w:r w:rsidRPr="0053048A">
        <w:rPr>
          <w:rFonts w:ascii="Arial" w:hAnsi="Arial" w:cs="Arial"/>
          <w:color w:val="333333"/>
        </w:rPr>
        <w:t>publish</w:t>
      </w:r>
      <w:r w:rsidR="00034C13">
        <w:rPr>
          <w:rFonts w:ascii="Arial" w:hAnsi="Arial" w:cs="Arial"/>
          <w:color w:val="333333"/>
        </w:rPr>
        <w:t xml:space="preserve"> on a quarterly basis details of </w:t>
      </w:r>
      <w:hyperlink r:id="rId10" w:history="1">
        <w:r w:rsidRPr="0053048A">
          <w:rPr>
            <w:rStyle w:val="Hyperlink"/>
            <w:rFonts w:ascii="Arial" w:hAnsi="Arial" w:cs="Arial"/>
          </w:rPr>
          <w:t>expenses</w:t>
        </w:r>
      </w:hyperlink>
      <w:r w:rsidR="0053048A" w:rsidRPr="0053048A">
        <w:rPr>
          <w:rFonts w:ascii="Arial" w:hAnsi="Arial" w:cs="Arial"/>
          <w:color w:val="333333"/>
        </w:rPr>
        <w:t xml:space="preserve"> </w:t>
      </w:r>
      <w:r w:rsidR="00034C13">
        <w:rPr>
          <w:rFonts w:ascii="Arial" w:hAnsi="Arial" w:cs="Arial"/>
          <w:color w:val="333333"/>
        </w:rPr>
        <w:t xml:space="preserve">claimed by </w:t>
      </w:r>
      <w:r w:rsidRPr="0053048A">
        <w:rPr>
          <w:rFonts w:ascii="Arial" w:hAnsi="Arial" w:cs="Arial"/>
          <w:color w:val="333333"/>
        </w:rPr>
        <w:t>the following members of senior staff: Vice-Chancellor, Deputy Vice-Chancellor, Pro-Vice-Chancellors, Executive Deans, Registrar and Secretary, Director of Finance, and Chief of Staff.</w:t>
      </w:r>
    </w:p>
    <w:p w14:paraId="4A610C4F" w14:textId="1BB640B4" w:rsidR="0053048A" w:rsidRPr="0053048A" w:rsidRDefault="0053048A" w:rsidP="00E11AE1">
      <w:pPr>
        <w:pStyle w:val="NormalWeb"/>
        <w:spacing w:before="120" w:beforeAutospacing="0" w:after="120" w:afterAutospacing="0" w:line="360" w:lineRule="auto"/>
        <w:ind w:right="1084"/>
        <w:rPr>
          <w:rFonts w:ascii="Arial" w:hAnsi="Arial" w:cs="Arial"/>
          <w:b/>
          <w:bCs/>
          <w:color w:val="333333"/>
        </w:rPr>
      </w:pPr>
      <w:r w:rsidRPr="0053048A">
        <w:rPr>
          <w:rFonts w:ascii="Arial" w:hAnsi="Arial" w:cs="Arial"/>
          <w:b/>
          <w:bCs/>
          <w:color w:val="333333"/>
        </w:rPr>
        <w:t>Katherine Parker</w:t>
      </w:r>
    </w:p>
    <w:p w14:paraId="1F50E517" w14:textId="22F777DA" w:rsidR="0053048A" w:rsidRPr="0053048A" w:rsidRDefault="0053048A" w:rsidP="00E11AE1">
      <w:pPr>
        <w:pStyle w:val="NormalWeb"/>
        <w:spacing w:before="120" w:beforeAutospacing="0" w:after="120" w:afterAutospacing="0" w:line="360" w:lineRule="auto"/>
        <w:ind w:right="1084"/>
        <w:rPr>
          <w:rFonts w:ascii="Arial" w:hAnsi="Arial" w:cs="Arial"/>
          <w:b/>
          <w:bCs/>
          <w:color w:val="333333"/>
        </w:rPr>
      </w:pPr>
      <w:r w:rsidRPr="0053048A">
        <w:rPr>
          <w:rFonts w:ascii="Arial" w:hAnsi="Arial" w:cs="Arial"/>
          <w:b/>
          <w:bCs/>
          <w:color w:val="333333"/>
        </w:rPr>
        <w:t>Business Partner – People and Culture</w:t>
      </w:r>
    </w:p>
    <w:p w14:paraId="35D745A6" w14:textId="3E317096" w:rsidR="00AF797A" w:rsidRPr="0053048A" w:rsidRDefault="0053048A" w:rsidP="00D37093">
      <w:pPr>
        <w:pStyle w:val="NormalWeb"/>
        <w:spacing w:before="120" w:beforeAutospacing="0" w:after="120" w:afterAutospacing="0" w:line="360" w:lineRule="auto"/>
        <w:ind w:right="1084"/>
        <w:rPr>
          <w:rFonts w:ascii="Arial" w:hAnsi="Arial" w:cs="Arial"/>
          <w:color w:val="221F1F"/>
        </w:rPr>
      </w:pPr>
      <w:r w:rsidRPr="0053048A">
        <w:rPr>
          <w:rFonts w:ascii="Arial" w:hAnsi="Arial" w:cs="Arial"/>
          <w:b/>
          <w:bCs/>
          <w:color w:val="333333"/>
        </w:rPr>
        <w:t>November 2022</w:t>
      </w:r>
    </w:p>
    <w:p w14:paraId="1BB4149B" w14:textId="77777777" w:rsidR="00D6483B" w:rsidRPr="0053048A" w:rsidRDefault="00D6483B" w:rsidP="00E11AE1">
      <w:pPr>
        <w:spacing w:before="120" w:after="120" w:line="360" w:lineRule="auto"/>
        <w:ind w:right="1084"/>
        <w:rPr>
          <w:rFonts w:ascii="Arial" w:hAnsi="Arial" w:cs="Arial"/>
        </w:rPr>
      </w:pPr>
    </w:p>
    <w:sectPr w:rsidR="00D6483B" w:rsidRPr="0053048A" w:rsidSect="00E11AE1">
      <w:footerReference w:type="first" r:id="rId11"/>
      <w:pgSz w:w="11910" w:h="17339"/>
      <w:pgMar w:top="993" w:right="3" w:bottom="993"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56F3" w14:textId="77777777" w:rsidR="00E85BC6" w:rsidRDefault="00E85BC6">
      <w:r>
        <w:separator/>
      </w:r>
    </w:p>
  </w:endnote>
  <w:endnote w:type="continuationSeparator" w:id="0">
    <w:p w14:paraId="0D77FA5E" w14:textId="77777777" w:rsidR="00E85BC6" w:rsidRDefault="00E8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C667" w14:textId="77777777" w:rsidR="00AB7ACE" w:rsidRPr="00661DE7" w:rsidRDefault="00AB7ACE" w:rsidP="00661DE7">
    <w:pPr>
      <w:pStyle w:val="Footer"/>
      <w:ind w:left="-540"/>
      <w:rPr>
        <w:rFonts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16CF" w14:textId="77777777" w:rsidR="00E85BC6" w:rsidRDefault="00E85BC6">
      <w:r>
        <w:separator/>
      </w:r>
    </w:p>
  </w:footnote>
  <w:footnote w:type="continuationSeparator" w:id="0">
    <w:p w14:paraId="53C5BB99" w14:textId="77777777" w:rsidR="00E85BC6" w:rsidRDefault="00E8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DEAD86"/>
    <w:multiLevelType w:val="hybridMultilevel"/>
    <w:tmpl w:val="CC66C4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0616C"/>
    <w:multiLevelType w:val="hybridMultilevel"/>
    <w:tmpl w:val="007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973933"/>
    <w:multiLevelType w:val="hybridMultilevel"/>
    <w:tmpl w:val="0EAA007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5657441"/>
    <w:multiLevelType w:val="hybridMultilevel"/>
    <w:tmpl w:val="10B2C94C"/>
    <w:lvl w:ilvl="0" w:tplc="9FBC5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73C1B"/>
    <w:multiLevelType w:val="hybridMultilevel"/>
    <w:tmpl w:val="77AC63FA"/>
    <w:lvl w:ilvl="0" w:tplc="DA9A046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404960"/>
    <w:multiLevelType w:val="hybridMultilevel"/>
    <w:tmpl w:val="55226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B81CC9"/>
    <w:multiLevelType w:val="hybridMultilevel"/>
    <w:tmpl w:val="2A18540C"/>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F300573"/>
    <w:multiLevelType w:val="hybridMultilevel"/>
    <w:tmpl w:val="8EB8A97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562FCD"/>
    <w:multiLevelType w:val="hybridMultilevel"/>
    <w:tmpl w:val="2932E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F0FB2"/>
    <w:multiLevelType w:val="hybridMultilevel"/>
    <w:tmpl w:val="BAC4A584"/>
    <w:lvl w:ilvl="0" w:tplc="08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2FB4DF1"/>
    <w:multiLevelType w:val="hybridMultilevel"/>
    <w:tmpl w:val="BA62B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FE253A"/>
    <w:multiLevelType w:val="hybridMultilevel"/>
    <w:tmpl w:val="C4989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0D00ED"/>
    <w:multiLevelType w:val="hybridMultilevel"/>
    <w:tmpl w:val="67E4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61B9A"/>
    <w:multiLevelType w:val="hybridMultilevel"/>
    <w:tmpl w:val="779E5892"/>
    <w:lvl w:ilvl="0" w:tplc="0809000F">
      <w:start w:val="1"/>
      <w:numFmt w:val="decimal"/>
      <w:lvlText w:val="%1."/>
      <w:lvlJc w:val="left"/>
      <w:pPr>
        <w:ind w:left="720" w:hanging="360"/>
      </w:pPr>
    </w:lvl>
    <w:lvl w:ilvl="1" w:tplc="1E702D5C">
      <w:start w:val="1"/>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E6586C"/>
    <w:multiLevelType w:val="hybridMultilevel"/>
    <w:tmpl w:val="EAA685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520EC6"/>
    <w:multiLevelType w:val="hybridMultilevel"/>
    <w:tmpl w:val="D2D6FD0C"/>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705A0B8A"/>
    <w:multiLevelType w:val="hybridMultilevel"/>
    <w:tmpl w:val="C28E747A"/>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0D756F"/>
    <w:multiLevelType w:val="hybridMultilevel"/>
    <w:tmpl w:val="DDA48CF4"/>
    <w:lvl w:ilvl="0" w:tplc="08090001">
      <w:start w:val="1"/>
      <w:numFmt w:val="bullet"/>
      <w:lvlText w:val=""/>
      <w:lvlJc w:val="left"/>
      <w:pPr>
        <w:ind w:left="720" w:firstLine="0"/>
      </w:pPr>
      <w:rPr>
        <w:rFonts w:ascii="Symbol" w:hAnsi="Symbol" w:hint="default"/>
        <w:w w:val="99"/>
        <w:sz w:val="24"/>
        <w:szCs w:val="24"/>
      </w:rPr>
    </w:lvl>
    <w:lvl w:ilvl="1" w:tplc="FFFFFFFF">
      <w:numFmt w:val="bullet"/>
      <w:lvlText w:val="•"/>
      <w:lvlJc w:val="left"/>
      <w:pPr>
        <w:ind w:left="2260" w:hanging="720"/>
      </w:pPr>
      <w:rPr>
        <w:rFonts w:ascii="Arial" w:eastAsia="Arial" w:hAnsi="Arial" w:cs="Arial" w:hint="default"/>
        <w:w w:val="99"/>
        <w:sz w:val="20"/>
        <w:szCs w:val="20"/>
      </w:rPr>
    </w:lvl>
    <w:lvl w:ilvl="2" w:tplc="FFFFFFFF">
      <w:numFmt w:val="bullet"/>
      <w:lvlText w:val="•"/>
      <w:lvlJc w:val="left"/>
      <w:pPr>
        <w:ind w:left="2260" w:hanging="720"/>
      </w:pPr>
      <w:rPr>
        <w:rFonts w:hint="default"/>
      </w:rPr>
    </w:lvl>
    <w:lvl w:ilvl="3" w:tplc="FFFFFFFF">
      <w:numFmt w:val="bullet"/>
      <w:lvlText w:val="•"/>
      <w:lvlJc w:val="left"/>
      <w:pPr>
        <w:ind w:left="3223" w:hanging="720"/>
      </w:pPr>
      <w:rPr>
        <w:rFonts w:hint="default"/>
      </w:rPr>
    </w:lvl>
    <w:lvl w:ilvl="4" w:tplc="FFFFFFFF">
      <w:numFmt w:val="bullet"/>
      <w:lvlText w:val="•"/>
      <w:lvlJc w:val="left"/>
      <w:pPr>
        <w:ind w:left="4186" w:hanging="720"/>
      </w:pPr>
      <w:rPr>
        <w:rFonts w:hint="default"/>
      </w:rPr>
    </w:lvl>
    <w:lvl w:ilvl="5" w:tplc="FFFFFFFF">
      <w:numFmt w:val="bullet"/>
      <w:lvlText w:val="•"/>
      <w:lvlJc w:val="left"/>
      <w:pPr>
        <w:ind w:left="5149" w:hanging="720"/>
      </w:pPr>
      <w:rPr>
        <w:rFonts w:hint="default"/>
      </w:rPr>
    </w:lvl>
    <w:lvl w:ilvl="6" w:tplc="FFFFFFFF">
      <w:numFmt w:val="bullet"/>
      <w:lvlText w:val="•"/>
      <w:lvlJc w:val="left"/>
      <w:pPr>
        <w:ind w:left="6113" w:hanging="720"/>
      </w:pPr>
      <w:rPr>
        <w:rFonts w:hint="default"/>
      </w:rPr>
    </w:lvl>
    <w:lvl w:ilvl="7" w:tplc="FFFFFFFF">
      <w:numFmt w:val="bullet"/>
      <w:lvlText w:val="•"/>
      <w:lvlJc w:val="left"/>
      <w:pPr>
        <w:ind w:left="7076" w:hanging="720"/>
      </w:pPr>
      <w:rPr>
        <w:rFonts w:hint="default"/>
      </w:rPr>
    </w:lvl>
    <w:lvl w:ilvl="8" w:tplc="FFFFFFFF">
      <w:numFmt w:val="bullet"/>
      <w:lvlText w:val="•"/>
      <w:lvlJc w:val="left"/>
      <w:pPr>
        <w:ind w:left="8039" w:hanging="720"/>
      </w:pPr>
      <w:rPr>
        <w:rFonts w:hint="default"/>
      </w:rPr>
    </w:lvl>
  </w:abstractNum>
  <w:abstractNum w:abstractNumId="18" w15:restartNumberingAfterBreak="0">
    <w:nsid w:val="78465AD7"/>
    <w:multiLevelType w:val="hybridMultilevel"/>
    <w:tmpl w:val="55E825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17"/>
  </w:num>
  <w:num w:numId="4">
    <w:abstractNumId w:val="13"/>
  </w:num>
  <w:num w:numId="5">
    <w:abstractNumId w:val="12"/>
  </w:num>
  <w:num w:numId="6">
    <w:abstractNumId w:val="3"/>
  </w:num>
  <w:num w:numId="7">
    <w:abstractNumId w:val="4"/>
  </w:num>
  <w:num w:numId="8">
    <w:abstractNumId w:val="2"/>
  </w:num>
  <w:num w:numId="9">
    <w:abstractNumId w:val="16"/>
  </w:num>
  <w:num w:numId="10">
    <w:abstractNumId w:val="6"/>
  </w:num>
  <w:num w:numId="11">
    <w:abstractNumId w:val="18"/>
  </w:num>
  <w:num w:numId="12">
    <w:abstractNumId w:val="11"/>
  </w:num>
  <w:num w:numId="13">
    <w:abstractNumId w:val="5"/>
  </w:num>
  <w:num w:numId="14">
    <w:abstractNumId w:val="1"/>
  </w:num>
  <w:num w:numId="15">
    <w:abstractNumId w:val="9"/>
  </w:num>
  <w:num w:numId="16">
    <w:abstractNumId w:val="14"/>
  </w:num>
  <w:num w:numId="17">
    <w:abstractNumId w:val="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7A"/>
    <w:rsid w:val="00001F99"/>
    <w:rsid w:val="00034C13"/>
    <w:rsid w:val="00043CC9"/>
    <w:rsid w:val="001200B9"/>
    <w:rsid w:val="001376D6"/>
    <w:rsid w:val="00167428"/>
    <w:rsid w:val="00351BAE"/>
    <w:rsid w:val="003555CC"/>
    <w:rsid w:val="00377BB6"/>
    <w:rsid w:val="00414A8E"/>
    <w:rsid w:val="004236CF"/>
    <w:rsid w:val="004745F5"/>
    <w:rsid w:val="004A1784"/>
    <w:rsid w:val="004F3F87"/>
    <w:rsid w:val="004F7AF2"/>
    <w:rsid w:val="0053048A"/>
    <w:rsid w:val="00552856"/>
    <w:rsid w:val="005C5FCE"/>
    <w:rsid w:val="005C62F0"/>
    <w:rsid w:val="006345DF"/>
    <w:rsid w:val="006361DA"/>
    <w:rsid w:val="006735C9"/>
    <w:rsid w:val="00697239"/>
    <w:rsid w:val="0096199B"/>
    <w:rsid w:val="0099089F"/>
    <w:rsid w:val="00A37ED6"/>
    <w:rsid w:val="00A900F7"/>
    <w:rsid w:val="00AB7ACE"/>
    <w:rsid w:val="00AF797A"/>
    <w:rsid w:val="00B70A2B"/>
    <w:rsid w:val="00BC702F"/>
    <w:rsid w:val="00BF3E95"/>
    <w:rsid w:val="00C20E4E"/>
    <w:rsid w:val="00CB0098"/>
    <w:rsid w:val="00CB3777"/>
    <w:rsid w:val="00D37093"/>
    <w:rsid w:val="00D6483B"/>
    <w:rsid w:val="00DD3224"/>
    <w:rsid w:val="00E11AE1"/>
    <w:rsid w:val="00E85BC6"/>
    <w:rsid w:val="00E9474B"/>
    <w:rsid w:val="00F30411"/>
    <w:rsid w:val="00F73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54370"/>
  <w15:chartTrackingRefBased/>
  <w15:docId w15:val="{6E1503DF-49E5-432F-80A1-EE52CA56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797A"/>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link w:val="ListParagraphChar"/>
    <w:uiPriority w:val="34"/>
    <w:qFormat/>
    <w:rsid w:val="00001F9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001F99"/>
  </w:style>
  <w:style w:type="table" w:styleId="TableGrid">
    <w:name w:val="Table Grid"/>
    <w:basedOn w:val="TableNormal"/>
    <w:uiPriority w:val="59"/>
    <w:rsid w:val="0004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E95"/>
    <w:rPr>
      <w:color w:val="0000FF"/>
      <w:u w:val="single"/>
    </w:rPr>
  </w:style>
  <w:style w:type="character" w:styleId="UnresolvedMention">
    <w:name w:val="Unresolved Mention"/>
    <w:basedOn w:val="DefaultParagraphFont"/>
    <w:uiPriority w:val="99"/>
    <w:semiHidden/>
    <w:unhideWhenUsed/>
    <w:rsid w:val="006345DF"/>
    <w:rPr>
      <w:color w:val="605E5C"/>
      <w:shd w:val="clear" w:color="auto" w:fill="E1DFDD"/>
    </w:rPr>
  </w:style>
  <w:style w:type="paragraph" w:styleId="NormalWeb">
    <w:name w:val="Normal (Web)"/>
    <w:basedOn w:val="Normal"/>
    <w:uiPriority w:val="99"/>
    <w:unhideWhenUsed/>
    <w:rsid w:val="006345D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BC702F"/>
    <w:rPr>
      <w:color w:val="800080" w:themeColor="followedHyperlink"/>
      <w:u w:val="single"/>
    </w:rPr>
  </w:style>
  <w:style w:type="character" w:styleId="CommentReference">
    <w:name w:val="annotation reference"/>
    <w:basedOn w:val="DefaultParagraphFont"/>
    <w:uiPriority w:val="99"/>
    <w:semiHidden/>
    <w:unhideWhenUsed/>
    <w:rsid w:val="003555CC"/>
    <w:rPr>
      <w:sz w:val="16"/>
      <w:szCs w:val="16"/>
    </w:rPr>
  </w:style>
  <w:style w:type="paragraph" w:styleId="CommentText">
    <w:name w:val="annotation text"/>
    <w:basedOn w:val="Normal"/>
    <w:link w:val="CommentTextChar"/>
    <w:uiPriority w:val="99"/>
    <w:semiHidden/>
    <w:unhideWhenUsed/>
    <w:rsid w:val="003555CC"/>
    <w:rPr>
      <w:sz w:val="20"/>
      <w:szCs w:val="20"/>
    </w:rPr>
  </w:style>
  <w:style w:type="character" w:customStyle="1" w:styleId="CommentTextChar">
    <w:name w:val="Comment Text Char"/>
    <w:basedOn w:val="DefaultParagraphFont"/>
    <w:link w:val="CommentText"/>
    <w:uiPriority w:val="99"/>
    <w:semiHidden/>
    <w:rsid w:val="003555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5CC"/>
    <w:rPr>
      <w:b/>
      <w:bCs/>
    </w:rPr>
  </w:style>
  <w:style w:type="character" w:customStyle="1" w:styleId="CommentSubjectChar">
    <w:name w:val="Comment Subject Char"/>
    <w:basedOn w:val="CommentTextChar"/>
    <w:link w:val="CommentSubject"/>
    <w:uiPriority w:val="99"/>
    <w:semiHidden/>
    <w:rsid w:val="003555C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AB7ACE"/>
    <w:pPr>
      <w:tabs>
        <w:tab w:val="center" w:pos="4513"/>
        <w:tab w:val="right" w:pos="9026"/>
      </w:tabs>
    </w:pPr>
  </w:style>
  <w:style w:type="character" w:customStyle="1" w:styleId="FooterChar">
    <w:name w:val="Footer Char"/>
    <w:basedOn w:val="DefaultParagraphFont"/>
    <w:link w:val="Footer"/>
    <w:uiPriority w:val="99"/>
    <w:rsid w:val="00AB7ACE"/>
    <w:rPr>
      <w:rFonts w:ascii="Times New Roman" w:eastAsia="Times New Roman" w:hAnsi="Times New Roman" w:cs="Times New Roman"/>
      <w:sz w:val="24"/>
      <w:szCs w:val="24"/>
    </w:rPr>
  </w:style>
  <w:style w:type="paragraph" w:customStyle="1" w:styleId="CommitteenameHeader">
    <w:name w:val="Committee name Header"/>
    <w:basedOn w:val="Normal"/>
    <w:link w:val="CommitteenameHeaderChar"/>
    <w:qFormat/>
    <w:rsid w:val="00AB7ACE"/>
    <w:pPr>
      <w:jc w:val="right"/>
    </w:pPr>
    <w:rPr>
      <w:rFonts w:ascii="Arial" w:hAnsi="Arial" w:cs="Arial"/>
      <w:lang w:eastAsia="en-GB"/>
    </w:rPr>
  </w:style>
  <w:style w:type="character" w:customStyle="1" w:styleId="CommitteenameHeaderChar">
    <w:name w:val="Committee name Header Char"/>
    <w:basedOn w:val="DefaultParagraphFont"/>
    <w:link w:val="CommitteenameHeader"/>
    <w:rsid w:val="00AB7ACE"/>
    <w:rPr>
      <w:rFonts w:ascii="Arial" w:eastAsia="Times New Roman" w:hAnsi="Arial" w:cs="Arial"/>
      <w:sz w:val="24"/>
      <w:szCs w:val="24"/>
      <w:lang w:eastAsia="en-GB"/>
    </w:rPr>
  </w:style>
  <w:style w:type="paragraph" w:styleId="Header">
    <w:name w:val="header"/>
    <w:basedOn w:val="Normal"/>
    <w:link w:val="HeaderChar"/>
    <w:uiPriority w:val="99"/>
    <w:unhideWhenUsed/>
    <w:rsid w:val="00D37093"/>
    <w:pPr>
      <w:tabs>
        <w:tab w:val="center" w:pos="4513"/>
        <w:tab w:val="right" w:pos="9026"/>
      </w:tabs>
    </w:pPr>
  </w:style>
  <w:style w:type="character" w:customStyle="1" w:styleId="HeaderChar">
    <w:name w:val="Header Char"/>
    <w:basedOn w:val="DefaultParagraphFont"/>
    <w:link w:val="Header"/>
    <w:uiPriority w:val="99"/>
    <w:rsid w:val="00D370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essex.ac.uk/committees/CommitteeResults.asp?committee=REM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ssex.ac.uk/staff/freedom-of-information/senior-staff-expenses" TargetMode="External"/><Relationship Id="rId4" Type="http://schemas.openxmlformats.org/officeDocument/2006/relationships/settings" Target="settings.xml"/><Relationship Id="rId9" Type="http://schemas.openxmlformats.org/officeDocument/2006/relationships/hyperlink" Target="https://www.essex.ac.uk/governance-and-strategy/financial-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498-5D1B-4FF5-96AE-8783DF81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Katherine M</dc:creator>
  <cp:keywords/>
  <dc:description/>
  <cp:lastModifiedBy>Parker, Katherine M</cp:lastModifiedBy>
  <cp:revision>4</cp:revision>
  <dcterms:created xsi:type="dcterms:W3CDTF">2022-11-24T11:20:00Z</dcterms:created>
  <dcterms:modified xsi:type="dcterms:W3CDTF">2022-11-30T10:16:00Z</dcterms:modified>
</cp:coreProperties>
</file>