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9" w:rsidRPr="00C62729" w:rsidRDefault="009C5309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INSTITUTION</w:t>
      </w:r>
    </w:p>
    <w:p w:rsidR="009C5309" w:rsidRDefault="00D95AF2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VALIDATION</w:t>
      </w:r>
      <w:r w:rsidR="009C5309">
        <w:rPr>
          <w:rFonts w:ascii="Arial" w:hAnsi="Arial" w:cs="Arial"/>
          <w:b/>
        </w:rPr>
        <w:t xml:space="preserve"> REFLECTIVE DOCUMENT</w:t>
      </w:r>
    </w:p>
    <w:p w:rsidR="00DC5D4B" w:rsidRDefault="00DC5D4B" w:rsidP="00DC5D4B">
      <w:pPr>
        <w:rPr>
          <w:rFonts w:ascii="Arial" w:hAnsi="Arial" w:cs="Arial"/>
          <w:b/>
        </w:rPr>
      </w:pPr>
    </w:p>
    <w:p w:rsidR="00DC5D4B" w:rsidRPr="00DC5D4B" w:rsidRDefault="00DC5D4B" w:rsidP="00DC5D4B">
      <w:pPr>
        <w:rPr>
          <w:rFonts w:ascii="Arial" w:hAnsi="Arial" w:cs="Arial"/>
          <w:b/>
          <w:i/>
          <w:sz w:val="22"/>
          <w:szCs w:val="22"/>
        </w:rPr>
      </w:pPr>
      <w:r w:rsidRPr="00DC5D4B">
        <w:rPr>
          <w:rFonts w:ascii="Arial" w:eastAsia="Times" w:hAnsi="Arial" w:cs="Arial"/>
          <w:b/>
          <w:i/>
          <w:sz w:val="22"/>
          <w:szCs w:val="22"/>
          <w:u w:val="single"/>
        </w:rPr>
        <w:t xml:space="preserve">Please note: </w:t>
      </w:r>
      <w:r w:rsidRPr="00DC5D4B">
        <w:rPr>
          <w:rFonts w:ascii="Arial" w:eastAsia="Times" w:hAnsi="Arial" w:cs="Arial"/>
          <w:b/>
          <w:i/>
          <w:sz w:val="22"/>
          <w:szCs w:val="22"/>
        </w:rPr>
        <w:t xml:space="preserve">Where more than one course is being considered within one </w:t>
      </w:r>
      <w:r w:rsidR="00D95AF2">
        <w:rPr>
          <w:rFonts w:ascii="Arial" w:eastAsia="Times" w:hAnsi="Arial" w:cs="Arial"/>
          <w:b/>
          <w:i/>
          <w:sz w:val="22"/>
          <w:szCs w:val="22"/>
        </w:rPr>
        <w:t>Validation</w:t>
      </w:r>
      <w:r w:rsidRPr="00DC5D4B">
        <w:rPr>
          <w:rFonts w:ascii="Arial" w:eastAsia="Times" w:hAnsi="Arial" w:cs="Arial"/>
          <w:b/>
          <w:i/>
          <w:sz w:val="22"/>
          <w:szCs w:val="22"/>
        </w:rPr>
        <w:t xml:space="preserve"> event, the Course Team are only required to complete one Reflective Document which covers all of the courses under review.</w:t>
      </w:r>
    </w:p>
    <w:p w:rsidR="009C5309" w:rsidRDefault="009C5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C5309" w:rsidRPr="00A6453F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309" w:rsidRPr="009C5309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>Partner Institution:</w:t>
            </w:r>
          </w:p>
        </w:tc>
        <w:tc>
          <w:tcPr>
            <w:tcW w:w="5448" w:type="dxa"/>
          </w:tcPr>
          <w:p w:rsidR="009C5309" w:rsidRPr="009C5309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A6453F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9C5309" w:rsidRDefault="004042C6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C5309" w:rsidRPr="009C5309">
              <w:rPr>
                <w:rFonts w:ascii="Arial" w:hAnsi="Arial" w:cs="Arial"/>
                <w:b/>
                <w:sz w:val="22"/>
                <w:szCs w:val="22"/>
              </w:rPr>
              <w:t xml:space="preserve"> of Reflective Document</w:t>
            </w: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48" w:type="dxa"/>
          </w:tcPr>
          <w:p w:rsidR="004042C6" w:rsidRPr="009C5309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A6453F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9C5309" w:rsidRDefault="00D865FD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D95AF2">
              <w:rPr>
                <w:rFonts w:ascii="Arial" w:hAnsi="Arial" w:cs="Arial"/>
                <w:b/>
                <w:sz w:val="22"/>
                <w:szCs w:val="22"/>
              </w:rPr>
              <w:t>Validation</w:t>
            </w:r>
            <w:r w:rsidR="004042C6" w:rsidRPr="009C53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48" w:type="dxa"/>
          </w:tcPr>
          <w:p w:rsidR="004042C6" w:rsidRPr="009C5309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F2" w:rsidRPr="00A6453F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AF2" w:rsidRPr="009C5309" w:rsidRDefault="00D95AF2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date of admission of first student cohort: </w:t>
            </w:r>
          </w:p>
        </w:tc>
        <w:tc>
          <w:tcPr>
            <w:tcW w:w="5448" w:type="dxa"/>
          </w:tcPr>
          <w:p w:rsidR="00D95AF2" w:rsidRPr="009C5309" w:rsidRDefault="00D95AF2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7" w:rsidRPr="00A6453F" w:rsidTr="006C591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6C5917" w:rsidRPr="009C5309" w:rsidRDefault="006C59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223A4" w:rsidRPr="00A6453F" w:rsidTr="00DF41D8">
        <w:trPr>
          <w:trHeight w:val="769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E223A4" w:rsidRDefault="00E223A4" w:rsidP="003772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7D18">
              <w:rPr>
                <w:rFonts w:ascii="Arial" w:hAnsi="Arial" w:cs="Arial"/>
                <w:b/>
                <w:sz w:val="22"/>
                <w:szCs w:val="22"/>
              </w:rPr>
              <w:t>A brief introduction to the Partner Institution and Faculty / Department in which course(s) based, including:</w:t>
            </w:r>
          </w:p>
          <w:p w:rsidR="00E223A4" w:rsidRPr="006F0794" w:rsidRDefault="003560AA" w:rsidP="003560AA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ho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>w the Faculty / Department has changed and developed over time</w:t>
            </w:r>
            <w:r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223A4" w:rsidRPr="006F0794" w:rsidRDefault="003560AA" w:rsidP="00E223A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>n overview of the range of subjects on offer and the Course Team’s research interests / schola</w:t>
            </w:r>
            <w:r w:rsidRPr="006F0794">
              <w:rPr>
                <w:rFonts w:ascii="Arial" w:hAnsi="Arial" w:cs="Arial"/>
                <w:sz w:val="22"/>
                <w:szCs w:val="22"/>
              </w:rPr>
              <w:t>rly activity (where applicable);</w:t>
            </w:r>
          </w:p>
          <w:p w:rsidR="00E223A4" w:rsidRPr="00E223A4" w:rsidRDefault="003560AA" w:rsidP="00E223A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t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 Faculty / Department’s aims, strengths and any particular features.</w:t>
            </w:r>
          </w:p>
        </w:tc>
      </w:tr>
      <w:tr w:rsidR="00E223A4" w:rsidRPr="00A6453F" w:rsidTr="00E223A4">
        <w:trPr>
          <w:trHeight w:val="769"/>
        </w:trPr>
        <w:tc>
          <w:tcPr>
            <w:tcW w:w="9242" w:type="dxa"/>
            <w:gridSpan w:val="2"/>
            <w:shd w:val="clear" w:color="auto" w:fill="FFFFFF" w:themeFill="background1"/>
          </w:tcPr>
          <w:p w:rsidR="00E223A4" w:rsidRDefault="00E223A4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D48" w:rsidRDefault="00503D48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408" w:rsidRDefault="00D61408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408" w:rsidRDefault="00D61408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408" w:rsidRDefault="00D61408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408" w:rsidRPr="00377217" w:rsidRDefault="00D61408" w:rsidP="00E223A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309" w:rsidRPr="00A6453F" w:rsidTr="00DF41D8">
        <w:trPr>
          <w:trHeight w:val="769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9C5309" w:rsidRPr="00377217" w:rsidRDefault="009C5309" w:rsidP="003772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77217">
              <w:rPr>
                <w:rFonts w:ascii="Arial" w:hAnsi="Arial" w:cs="Arial"/>
                <w:b/>
                <w:sz w:val="22"/>
                <w:szCs w:val="22"/>
              </w:rPr>
              <w:t>Overview of the scope and context for  the review including:</w:t>
            </w:r>
          </w:p>
          <w:p w:rsidR="00D95AF2" w:rsidRDefault="00D95AF2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5309" w:rsidRPr="009C5309" w:rsidRDefault="00D95AF2" w:rsidP="00D95AF2">
            <w:pPr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2a. </w:t>
            </w:r>
            <w:r w:rsidR="009C5309" w:rsidRPr="009C5309">
              <w:rPr>
                <w:rFonts w:ascii="Arial" w:hAnsi="Arial" w:cs="Arial"/>
                <w:b/>
                <w:sz w:val="22"/>
                <w:szCs w:val="22"/>
              </w:rPr>
              <w:t xml:space="preserve">List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9C5309" w:rsidRPr="009C5309">
              <w:rPr>
                <w:rFonts w:ascii="Arial" w:hAnsi="Arial" w:cs="Arial"/>
                <w:b/>
                <w:sz w:val="22"/>
                <w:szCs w:val="22"/>
              </w:rPr>
              <w:t xml:space="preserve">courses being reviewed (including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all named </w:t>
            </w:r>
            <w:r w:rsidR="00BE45C7">
              <w:rPr>
                <w:rFonts w:ascii="Arial" w:hAnsi="Arial" w:cs="Arial"/>
                <w:b/>
                <w:sz w:val="22"/>
                <w:szCs w:val="22"/>
              </w:rPr>
              <w:t>and unnamed exit awards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details regarding modes of study (F/T, P/T, credit accumulation, where appropriate</w:t>
            </w:r>
            <w:r w:rsidR="009C5309" w:rsidRPr="009C530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C5917" w:rsidRPr="00A6453F" w:rsidTr="001B7F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D865FD" w:rsidRDefault="00D865F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309" w:rsidRPr="009C5309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CB5" w:rsidRDefault="001D2CB5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48" w:rsidRDefault="00503D48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F1B" w:rsidRDefault="00681F1B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F1B" w:rsidRDefault="00681F1B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46E" w:rsidRDefault="00F8446E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917" w:rsidRPr="009C5309" w:rsidRDefault="006C5917" w:rsidP="009C5309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D95AF2" w:rsidRPr="00A6453F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D95AF2" w:rsidRDefault="00D95AF2" w:rsidP="00D00F84">
            <w:pPr>
              <w:ind w:left="709" w:hanging="3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2b. Rationale</w:t>
            </w:r>
            <w:r w:rsidR="002407B8">
              <w:rPr>
                <w:rFonts w:ascii="Arial" w:hAnsi="Arial" w:cs="Arial"/>
                <w:b/>
                <w:sz w:val="22"/>
                <w:szCs w:val="22"/>
              </w:rPr>
              <w:t>, aims and 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the proposed </w:t>
            </w:r>
            <w:r w:rsidR="002407B8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D00F8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(including the reason for proposing the</w:t>
            </w:r>
            <w:r w:rsidR="002407B8">
              <w:rPr>
                <w:rFonts w:ascii="Arial" w:hAnsi="Arial" w:cs="Arial"/>
                <w:b/>
                <w:sz w:val="22"/>
                <w:szCs w:val="22"/>
              </w:rPr>
              <w:t xml:space="preserve"> new course</w:t>
            </w:r>
            <w:r w:rsidR="00D00F84">
              <w:rPr>
                <w:rFonts w:ascii="Arial" w:hAnsi="Arial" w:cs="Arial"/>
                <w:b/>
                <w:sz w:val="22"/>
                <w:szCs w:val="22"/>
              </w:rPr>
              <w:t>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how </w:t>
            </w:r>
            <w:r w:rsidR="00D00F84">
              <w:rPr>
                <w:rFonts w:ascii="Arial" w:hAnsi="Arial" w:cs="Arial"/>
                <w:b/>
                <w:sz w:val="22"/>
                <w:szCs w:val="22"/>
              </w:rPr>
              <w:t>they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fit into the HE portfolio</w:t>
            </w:r>
            <w:r w:rsidR="00D00F84">
              <w:rPr>
                <w:rFonts w:ascii="Arial" w:hAnsi="Arial" w:cs="Arial"/>
                <w:b/>
                <w:sz w:val="22"/>
                <w:szCs w:val="22"/>
              </w:rPr>
              <w:t xml:space="preserve"> and how they align with the University’s Education Strategy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95AF2" w:rsidRPr="00A6453F" w:rsidTr="00D95AF2">
        <w:tc>
          <w:tcPr>
            <w:tcW w:w="9242" w:type="dxa"/>
            <w:gridSpan w:val="2"/>
            <w:shd w:val="clear" w:color="auto" w:fill="auto"/>
          </w:tcPr>
          <w:p w:rsidR="00D95AF2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AF2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AF2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AF2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AF2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3D48" w:rsidRDefault="00503D48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5AF2" w:rsidRPr="00A6453F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47557C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2c. Information on how the course was developed</w:t>
            </w:r>
            <w:r w:rsidR="00C75E61">
              <w:rPr>
                <w:rFonts w:ascii="Arial" w:hAnsi="Arial" w:cs="Arial"/>
                <w:b/>
                <w:sz w:val="22"/>
                <w:szCs w:val="22"/>
              </w:rPr>
              <w:t>, including</w:t>
            </w:r>
            <w:r w:rsidR="004755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95AF2" w:rsidRPr="006F0794" w:rsidRDefault="00C75E61" w:rsidP="004755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details of any external consultation </w:t>
            </w:r>
            <w:r w:rsidR="00503D48" w:rsidRPr="006F0794">
              <w:rPr>
                <w:rFonts w:ascii="Arial" w:hAnsi="Arial" w:cs="Arial"/>
                <w:sz w:val="22"/>
                <w:szCs w:val="22"/>
              </w:rPr>
              <w:t>(e.g. academic experts, industry representatives</w:t>
            </w:r>
            <w:r w:rsidR="003560AA" w:rsidRPr="006F0794">
              <w:rPr>
                <w:rFonts w:ascii="Arial" w:hAnsi="Arial" w:cs="Arial"/>
                <w:sz w:val="22"/>
                <w:szCs w:val="22"/>
              </w:rPr>
              <w:t xml:space="preserve"> and employer representatives), </w:t>
            </w:r>
            <w:r w:rsidR="00503D48" w:rsidRPr="006F0794">
              <w:rPr>
                <w:rFonts w:ascii="Arial" w:hAnsi="Arial" w:cs="Arial"/>
                <w:sz w:val="22"/>
                <w:szCs w:val="22"/>
              </w:rPr>
              <w:t xml:space="preserve">where applicable, </w:t>
            </w:r>
            <w:r w:rsidRPr="006F0794">
              <w:rPr>
                <w:rFonts w:ascii="Arial" w:hAnsi="Arial" w:cs="Arial"/>
                <w:sz w:val="22"/>
                <w:szCs w:val="22"/>
              </w:rPr>
              <w:t>and how this has impacted upon the final proposal</w:t>
            </w:r>
            <w:r w:rsidR="0047557C"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7557C" w:rsidRPr="006F0794" w:rsidRDefault="0047557C" w:rsidP="004755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details of how </w:t>
            </w:r>
            <w:r w:rsidR="003560AA" w:rsidRPr="006F0794">
              <w:rPr>
                <w:rFonts w:ascii="Arial" w:hAnsi="Arial" w:cs="Arial"/>
                <w:sz w:val="22"/>
                <w:szCs w:val="22"/>
              </w:rPr>
              <w:t>in</w:t>
            </w:r>
            <w:r w:rsidRPr="006F0794">
              <w:rPr>
                <w:rFonts w:ascii="Arial" w:hAnsi="Arial" w:cs="Arial"/>
                <w:sz w:val="22"/>
                <w:szCs w:val="22"/>
              </w:rPr>
              <w:t>ternal and external reference points have been considered within the course development, including:</w:t>
            </w:r>
          </w:p>
          <w:p w:rsidR="003560AA" w:rsidRPr="006F0794" w:rsidRDefault="0047557C" w:rsidP="003560AA">
            <w:pPr>
              <w:pStyle w:val="ListParagraph"/>
              <w:numPr>
                <w:ilvl w:val="0"/>
                <w:numId w:val="20"/>
              </w:numPr>
              <w:ind w:left="1434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3560AA" w:rsidRPr="006F0794">
              <w:rPr>
                <w:rFonts w:ascii="Arial" w:hAnsi="Arial" w:cs="Arial"/>
                <w:i/>
                <w:sz w:val="22"/>
                <w:szCs w:val="22"/>
              </w:rPr>
              <w:t>rofessional</w:t>
            </w:r>
            <w:r w:rsidR="00747D08" w:rsidRPr="006F0794">
              <w:rPr>
                <w:rFonts w:ascii="Arial" w:hAnsi="Arial" w:cs="Arial"/>
                <w:i/>
                <w:sz w:val="22"/>
                <w:szCs w:val="22"/>
              </w:rPr>
              <w:t>, Statutory and</w:t>
            </w:r>
            <w:r w:rsidR="003560AA" w:rsidRPr="006F0794">
              <w:rPr>
                <w:rFonts w:ascii="Arial" w:hAnsi="Arial" w:cs="Arial"/>
                <w:i/>
                <w:sz w:val="22"/>
                <w:szCs w:val="22"/>
              </w:rPr>
              <w:t xml:space="preserve"> Regulatory Bodies (P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>SRB</w:t>
            </w:r>
            <w:r w:rsidR="003560AA" w:rsidRPr="006F0794">
              <w:rPr>
                <w:rFonts w:ascii="Arial" w:hAnsi="Arial" w:cs="Arial"/>
                <w:i/>
                <w:sz w:val="22"/>
                <w:szCs w:val="22"/>
              </w:rPr>
              <w:t>) accreditation</w:t>
            </w:r>
          </w:p>
          <w:p w:rsidR="0047557C" w:rsidRPr="006F0794" w:rsidRDefault="00B67569" w:rsidP="003560AA">
            <w:pPr>
              <w:pStyle w:val="ListParagraph"/>
              <w:numPr>
                <w:ilvl w:val="0"/>
                <w:numId w:val="20"/>
              </w:numPr>
              <w:ind w:left="1434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Quality Assurance Agency (QAA) </w:t>
            </w:r>
            <w:r w:rsidR="0047557C" w:rsidRPr="006F0794">
              <w:rPr>
                <w:rFonts w:ascii="Arial" w:hAnsi="Arial" w:cs="Arial"/>
                <w:i/>
                <w:sz w:val="22"/>
                <w:szCs w:val="22"/>
              </w:rPr>
              <w:t>UK threshold standards</w:t>
            </w:r>
          </w:p>
          <w:p w:rsidR="0047557C" w:rsidRPr="006F0794" w:rsidRDefault="0047557C" w:rsidP="0047557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>Research Council requirements and reports (where applicable)</w:t>
            </w:r>
          </w:p>
          <w:p w:rsidR="003560AA" w:rsidRPr="006F0794" w:rsidRDefault="00846EBC" w:rsidP="0047557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 w:val="22"/>
                <w:szCs w:val="22"/>
              </w:rPr>
            </w:pPr>
            <w:hyperlink r:id="rId8" w:history="1">
              <w:r w:rsidR="0047557C" w:rsidRPr="006F079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University's Strategic Plan</w:t>
              </w:r>
            </w:hyperlink>
            <w:r w:rsidR="0047557C" w:rsidRPr="006F07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7557C" w:rsidRPr="0047557C" w:rsidRDefault="00846EBC" w:rsidP="003560A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hyperlink r:id="rId9" w:history="1">
              <w:r w:rsidR="003560AA" w:rsidRPr="006F079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University’s</w:t>
              </w:r>
              <w:r w:rsidR="0047557C" w:rsidRPr="006F079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 xml:space="preserve"> Education Strategy</w:t>
              </w:r>
              <w:r w:rsidR="003560AA" w:rsidRPr="006F079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</w:hyperlink>
            <w:r w:rsidR="003560AA" w:rsidRPr="006F0794">
              <w:rPr>
                <w:rFonts w:ascii="Arial" w:hAnsi="Arial" w:cs="Arial"/>
                <w:i/>
                <w:sz w:val="22"/>
                <w:szCs w:val="22"/>
              </w:rPr>
              <w:t xml:space="preserve">and associated </w:t>
            </w:r>
            <w:r w:rsidR="0047557C" w:rsidRPr="006F0794">
              <w:rPr>
                <w:rFonts w:ascii="Arial" w:hAnsi="Arial" w:cs="Arial"/>
                <w:i/>
                <w:sz w:val="22"/>
                <w:szCs w:val="22"/>
              </w:rPr>
              <w:t>Curriculum Review</w:t>
            </w:r>
          </w:p>
        </w:tc>
      </w:tr>
      <w:tr w:rsidR="00D95AF2" w:rsidRPr="00A6453F" w:rsidTr="00D95AF2">
        <w:tc>
          <w:tcPr>
            <w:tcW w:w="9242" w:type="dxa"/>
            <w:gridSpan w:val="2"/>
            <w:shd w:val="clear" w:color="auto" w:fill="FFFFFF" w:themeFill="background1"/>
          </w:tcPr>
          <w:p w:rsidR="00D95AF2" w:rsidRDefault="00D95AF2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E61" w:rsidRDefault="00C75E61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E61" w:rsidRDefault="00C75E61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E61" w:rsidRDefault="00C75E61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60AA" w:rsidRDefault="003560AA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E61" w:rsidRDefault="00C75E61" w:rsidP="005A71B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5E61" w:rsidRPr="00A6453F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6C763B" w:rsidRDefault="00C75E61" w:rsidP="0047557C">
            <w:pPr>
              <w:pStyle w:val="ListParagraph"/>
              <w:ind w:left="709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57C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C763B">
              <w:rPr>
                <w:rFonts w:ascii="Arial" w:hAnsi="Arial" w:cs="Arial"/>
                <w:b/>
                <w:sz w:val="22"/>
                <w:szCs w:val="22"/>
              </w:rPr>
              <w:t>An overview of the target market for the course including:</w:t>
            </w:r>
          </w:p>
          <w:p w:rsidR="006C763B" w:rsidRPr="006F0794" w:rsidRDefault="006C763B" w:rsidP="006C763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</w:t>
            </w:r>
            <w:r w:rsidR="00C75E61" w:rsidRPr="006F0794">
              <w:rPr>
                <w:rFonts w:ascii="Arial" w:hAnsi="Arial" w:cs="Arial"/>
                <w:sz w:val="22"/>
                <w:szCs w:val="22"/>
              </w:rPr>
              <w:t xml:space="preserve">etails of 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75E61" w:rsidRPr="006F0794">
              <w:rPr>
                <w:rFonts w:ascii="Arial" w:hAnsi="Arial" w:cs="Arial"/>
                <w:sz w:val="22"/>
                <w:szCs w:val="22"/>
              </w:rPr>
              <w:t>anticipated target market</w:t>
            </w:r>
            <w:r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C763B" w:rsidRPr="006F0794" w:rsidRDefault="00C75E61" w:rsidP="006C763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evidence of applicant demand and employer demand</w:t>
            </w:r>
            <w:r w:rsidR="006C763B"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75E61" w:rsidRPr="006F0794" w:rsidRDefault="00C75E61" w:rsidP="006C763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anticipated growth</w:t>
            </w:r>
            <w:r w:rsidR="006C763B"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C763B" w:rsidRPr="00377217" w:rsidRDefault="006C763B" w:rsidP="006C763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details</w:t>
            </w:r>
            <w:proofErr w:type="gramEnd"/>
            <w:r w:rsidRPr="006F0794">
              <w:rPr>
                <w:rFonts w:ascii="Arial" w:hAnsi="Arial" w:cs="Arial"/>
                <w:sz w:val="22"/>
                <w:szCs w:val="22"/>
              </w:rPr>
              <w:t xml:space="preserve"> of selection and admissions criteria</w:t>
            </w:r>
            <w:r w:rsidR="008675D0" w:rsidRPr="006F0794">
              <w:rPr>
                <w:rFonts w:ascii="Arial" w:hAnsi="Arial" w:cs="Arial"/>
                <w:sz w:val="22"/>
                <w:szCs w:val="22"/>
              </w:rPr>
              <w:t xml:space="preserve"> (including non-standard entry)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75E61" w:rsidRPr="00A6453F" w:rsidTr="00C75E61">
        <w:tc>
          <w:tcPr>
            <w:tcW w:w="9242" w:type="dxa"/>
            <w:gridSpan w:val="2"/>
            <w:shd w:val="clear" w:color="auto" w:fill="auto"/>
          </w:tcPr>
          <w:p w:rsidR="00C75E61" w:rsidRDefault="00C75E61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2791" w:rsidRDefault="00162791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60AA" w:rsidRDefault="003560AA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Pr="00377217" w:rsidRDefault="004912C2" w:rsidP="00C75E6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2C2" w:rsidRPr="00A6453F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4912C2" w:rsidRDefault="004912C2" w:rsidP="003560AA">
            <w:pPr>
              <w:pStyle w:val="ListParagraph"/>
              <w:ind w:left="709" w:hanging="3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57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560A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An indication of the potential progression opportunities for the students, such as furthe</w:t>
            </w:r>
            <w:r w:rsidR="003560AA">
              <w:rPr>
                <w:rFonts w:ascii="Arial" w:hAnsi="Arial" w:cs="Arial"/>
                <w:b/>
                <w:sz w:val="22"/>
                <w:szCs w:val="22"/>
              </w:rPr>
              <w:t>r academic study or employment, including:</w:t>
            </w:r>
          </w:p>
          <w:p w:rsidR="003560AA" w:rsidRPr="006F0794" w:rsidRDefault="003560AA" w:rsidP="003560A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how the employability of students will be developed</w:t>
            </w:r>
            <w:r w:rsidR="00162791" w:rsidRPr="006F0794">
              <w:rPr>
                <w:rFonts w:ascii="Arial" w:hAnsi="Arial" w:cs="Arial"/>
                <w:sz w:val="22"/>
                <w:szCs w:val="22"/>
              </w:rPr>
              <w:t xml:space="preserve"> throughout the course</w:t>
            </w:r>
            <w:r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46665" w:rsidRPr="003560AA" w:rsidRDefault="003560AA" w:rsidP="00C466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details</w:t>
            </w:r>
            <w:proofErr w:type="gramEnd"/>
            <w:r w:rsidRPr="006F0794">
              <w:rPr>
                <w:rFonts w:ascii="Arial" w:hAnsi="Arial" w:cs="Arial"/>
                <w:sz w:val="22"/>
                <w:szCs w:val="22"/>
              </w:rPr>
              <w:t xml:space="preserve"> of employer links.</w:t>
            </w:r>
          </w:p>
        </w:tc>
      </w:tr>
      <w:tr w:rsidR="004912C2" w:rsidRPr="00A6453F" w:rsidTr="004912C2">
        <w:tc>
          <w:tcPr>
            <w:tcW w:w="9242" w:type="dxa"/>
            <w:gridSpan w:val="2"/>
            <w:shd w:val="clear" w:color="auto" w:fill="FFFFFF" w:themeFill="background1"/>
          </w:tcPr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60AA" w:rsidRDefault="003560AA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60AA" w:rsidRDefault="003560AA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Pr="00377217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2C2" w:rsidRPr="00A6453F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681F1B" w:rsidRPr="00681F1B" w:rsidRDefault="004912C2" w:rsidP="003560AA">
            <w:pPr>
              <w:pStyle w:val="ListParagraph"/>
              <w:ind w:left="709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47557C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. An explanation of how the proposed course fits within the existing course portfolio, including details of shared modules/courses</w:t>
            </w:r>
            <w:r w:rsidR="004A26E1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impact on existing provision</w:t>
            </w:r>
            <w:r w:rsidR="004A26E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912C2" w:rsidRPr="00A6453F" w:rsidTr="004912C2">
        <w:tc>
          <w:tcPr>
            <w:tcW w:w="9242" w:type="dxa"/>
            <w:gridSpan w:val="2"/>
            <w:shd w:val="clear" w:color="auto" w:fill="FFFFFF" w:themeFill="background1"/>
          </w:tcPr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38AF" w:rsidRDefault="003F38AF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Pr="00377217" w:rsidRDefault="00620F8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2C2" w:rsidRPr="00A6453F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4912C2" w:rsidRPr="00620F8C" w:rsidRDefault="00681F1B" w:rsidP="00620F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20F8C">
              <w:rPr>
                <w:rFonts w:ascii="Arial" w:hAnsi="Arial" w:cs="Arial"/>
                <w:b/>
                <w:sz w:val="22"/>
                <w:szCs w:val="22"/>
              </w:rPr>
              <w:t>Overview of the Course Structure and Content, including:</w:t>
            </w:r>
          </w:p>
          <w:p w:rsidR="00681F1B" w:rsidRPr="006F0794" w:rsidRDefault="00681F1B" w:rsidP="00681F1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course structure diagrams;</w:t>
            </w:r>
          </w:p>
          <w:p w:rsidR="00681F1B" w:rsidRPr="006F0794" w:rsidRDefault="00681F1B" w:rsidP="00681F1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how the curriculum promotes progression through the levels of the award, in line with the QAA Framework for Higher Education Qualifications (FHEQ);</w:t>
            </w:r>
          </w:p>
          <w:p w:rsidR="00681F1B" w:rsidRPr="006F0794" w:rsidRDefault="00681F1B" w:rsidP="00681F1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3F38AF" w:rsidRPr="006F0794">
              <w:rPr>
                <w:rFonts w:ascii="Arial" w:hAnsi="Arial" w:cs="Arial"/>
                <w:sz w:val="22"/>
                <w:szCs w:val="22"/>
              </w:rPr>
              <w:t>how the programme learning outcomes map to the module learning outcomes;</w:t>
            </w:r>
          </w:p>
          <w:p w:rsidR="00681F1B" w:rsidRPr="006F0794" w:rsidRDefault="00681F1B" w:rsidP="00681F1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details of skills </w:t>
            </w:r>
            <w:r w:rsidR="00620F8C" w:rsidRPr="006F0794">
              <w:rPr>
                <w:rFonts w:ascii="Arial" w:hAnsi="Arial" w:cs="Arial"/>
                <w:sz w:val="22"/>
                <w:szCs w:val="22"/>
              </w:rPr>
              <w:t>development</w:t>
            </w:r>
            <w:r w:rsidR="003F38AF" w:rsidRPr="006F0794">
              <w:rPr>
                <w:rFonts w:ascii="Arial" w:hAnsi="Arial" w:cs="Arial"/>
                <w:sz w:val="22"/>
                <w:szCs w:val="22"/>
              </w:rPr>
              <w:t xml:space="preserve"> (specialised and transferable) </w:t>
            </w:r>
            <w:r w:rsidR="00620F8C" w:rsidRPr="006F0794">
              <w:rPr>
                <w:rFonts w:ascii="Arial" w:hAnsi="Arial" w:cs="Arial"/>
                <w:sz w:val="22"/>
                <w:szCs w:val="22"/>
              </w:rPr>
              <w:t>and support for P</w:t>
            </w:r>
            <w:r w:rsidR="003F38AF" w:rsidRPr="006F0794">
              <w:rPr>
                <w:rFonts w:ascii="Arial" w:hAnsi="Arial" w:cs="Arial"/>
                <w:sz w:val="22"/>
                <w:szCs w:val="22"/>
              </w:rPr>
              <w:t>ersonal Development Planning (P</w:t>
            </w:r>
            <w:r w:rsidR="00620F8C" w:rsidRPr="006F0794">
              <w:rPr>
                <w:rFonts w:ascii="Arial" w:hAnsi="Arial" w:cs="Arial"/>
                <w:sz w:val="22"/>
                <w:szCs w:val="22"/>
              </w:rPr>
              <w:t>DP</w:t>
            </w:r>
            <w:r w:rsidR="003F38AF" w:rsidRPr="006F0794">
              <w:rPr>
                <w:rFonts w:ascii="Arial" w:hAnsi="Arial" w:cs="Arial"/>
                <w:sz w:val="22"/>
                <w:szCs w:val="22"/>
              </w:rPr>
              <w:t>)</w:t>
            </w:r>
            <w:r w:rsidR="00620F8C"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20F8C" w:rsidRPr="006F0794" w:rsidRDefault="003F38AF" w:rsidP="00681F1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620F8C" w:rsidRPr="006F0794">
              <w:rPr>
                <w:rFonts w:ascii="Arial" w:hAnsi="Arial" w:cs="Arial"/>
                <w:sz w:val="22"/>
                <w:szCs w:val="22"/>
              </w:rPr>
              <w:t>how the learning outcomes map to QAA/P</w:t>
            </w:r>
            <w:r w:rsidRPr="006F0794">
              <w:rPr>
                <w:rFonts w:ascii="Arial" w:hAnsi="Arial" w:cs="Arial"/>
                <w:sz w:val="22"/>
                <w:szCs w:val="22"/>
              </w:rPr>
              <w:t>RSB Benchmarks</w:t>
            </w:r>
            <w:r w:rsidR="00BD691F"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D691F" w:rsidRPr="006F0794" w:rsidRDefault="00BD691F" w:rsidP="00681F1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where</w:t>
            </w:r>
            <w:proofErr w:type="gramEnd"/>
            <w:r w:rsidRPr="006F0794">
              <w:rPr>
                <w:rFonts w:ascii="Arial" w:hAnsi="Arial" w:cs="Arial"/>
                <w:sz w:val="22"/>
                <w:szCs w:val="22"/>
              </w:rPr>
              <w:t xml:space="preserve"> the course operates in a non-standard format (e.g. online provision, part-time provision, credit accumulation), details of how </w:t>
            </w:r>
            <w:r w:rsidR="006C763B" w:rsidRPr="006F0794">
              <w:rPr>
                <w:rFonts w:ascii="Arial" w:hAnsi="Arial" w:cs="Arial"/>
                <w:sz w:val="22"/>
                <w:szCs w:val="22"/>
              </w:rPr>
              <w:t xml:space="preserve">the course will be delivered. </w:t>
            </w:r>
          </w:p>
          <w:p w:rsidR="00401243" w:rsidRPr="00394245" w:rsidRDefault="00401243" w:rsidP="00B675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(This section should be cross-referenced to the Programme Specifications, Module Maps and Module Outlines within the </w:t>
            </w:r>
            <w:r w:rsidR="00B67569" w:rsidRPr="006F0794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>Course Documentation</w:t>
            </w:r>
            <w:r w:rsidR="00B67569" w:rsidRPr="006F0794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 section.)</w:t>
            </w:r>
          </w:p>
        </w:tc>
      </w:tr>
      <w:tr w:rsidR="004912C2" w:rsidRPr="00A6453F" w:rsidTr="004912C2">
        <w:tc>
          <w:tcPr>
            <w:tcW w:w="9242" w:type="dxa"/>
            <w:gridSpan w:val="2"/>
            <w:shd w:val="clear" w:color="auto" w:fill="FFFFFF" w:themeFill="background1"/>
          </w:tcPr>
          <w:p w:rsidR="004912C2" w:rsidRDefault="004912C2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794" w:rsidRDefault="006F0794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F1B" w:rsidRPr="00377217" w:rsidRDefault="00681F1B" w:rsidP="004912C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F8C" w:rsidRPr="00A6453F" w:rsidTr="006F0794">
        <w:trPr>
          <w:trHeight w:val="1471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620F8C" w:rsidRDefault="00620F8C" w:rsidP="00620F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Overview of the Learning and Teaching Strategy for the course, including:</w:t>
            </w:r>
          </w:p>
          <w:p w:rsidR="00620F8C" w:rsidRPr="006F0794" w:rsidRDefault="00620F8C" w:rsidP="00620F8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the range of learning and teaching tools that will be employed and the rationale for using them;</w:t>
            </w:r>
          </w:p>
          <w:p w:rsidR="00620F8C" w:rsidRPr="00620F8C" w:rsidRDefault="006F0794" w:rsidP="00AC79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commentary</w:t>
            </w:r>
            <w:proofErr w:type="gramEnd"/>
            <w:r w:rsidR="00620F8C" w:rsidRPr="006F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9E6" w:rsidRPr="006F0794">
              <w:rPr>
                <w:rFonts w:ascii="Arial" w:hAnsi="Arial" w:cs="Arial"/>
                <w:sz w:val="22"/>
                <w:szCs w:val="22"/>
              </w:rPr>
              <w:t>regarding</w:t>
            </w:r>
            <w:r w:rsidR="00620F8C" w:rsidRPr="006F0794">
              <w:rPr>
                <w:rFonts w:ascii="Arial" w:hAnsi="Arial" w:cs="Arial"/>
                <w:sz w:val="22"/>
                <w:szCs w:val="22"/>
              </w:rPr>
              <w:t xml:space="preserve"> the appropriateness off the strategy for students with any additional needs (e.g. physical disabilities, learning disabilities) and any adjustments that might need to be made. </w:t>
            </w:r>
          </w:p>
        </w:tc>
      </w:tr>
      <w:tr w:rsidR="00620F8C" w:rsidRPr="00A6453F" w:rsidTr="00620F8C">
        <w:tc>
          <w:tcPr>
            <w:tcW w:w="9242" w:type="dxa"/>
            <w:gridSpan w:val="2"/>
            <w:shd w:val="clear" w:color="auto" w:fill="auto"/>
          </w:tcPr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794" w:rsidRDefault="006F0794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0F8C" w:rsidRPr="00F8446E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F8C" w:rsidRPr="00A6453F" w:rsidTr="00CE2D4F">
        <w:tc>
          <w:tcPr>
            <w:tcW w:w="9242" w:type="dxa"/>
            <w:gridSpan w:val="2"/>
            <w:shd w:val="clear" w:color="auto" w:fill="D9D9D9" w:themeFill="background1" w:themeFillShade="D9"/>
          </w:tcPr>
          <w:p w:rsidR="00620F8C" w:rsidRPr="00AC79E6" w:rsidRDefault="00620F8C" w:rsidP="00AC79E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C79E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Overview of the Assessment Strategy for the course, </w:t>
            </w:r>
            <w:r w:rsidR="00AC79E6" w:rsidRPr="00AC79E6">
              <w:rPr>
                <w:rFonts w:ascii="Arial" w:hAnsi="Arial" w:cs="Arial"/>
                <w:b/>
                <w:sz w:val="22"/>
                <w:szCs w:val="22"/>
              </w:rPr>
              <w:t xml:space="preserve">in accordance with the University’s </w:t>
            </w:r>
            <w:hyperlink r:id="rId10" w:history="1">
              <w:r w:rsidR="00AC79E6" w:rsidRPr="00AC79E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Undergraduate Rules of Assessment</w:t>
              </w:r>
            </w:hyperlink>
            <w:r w:rsidR="00AC79E6" w:rsidRPr="00AC79E6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hyperlink r:id="rId11" w:history="1">
              <w:r w:rsidR="00AC79E6" w:rsidRPr="00AC79E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Postgraduate Taught Rules of Assessment</w:t>
              </w:r>
            </w:hyperlink>
            <w:r w:rsidR="00AC79E6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AC79E6">
              <w:rPr>
                <w:rFonts w:ascii="Arial" w:hAnsi="Arial" w:cs="Arial"/>
                <w:b/>
                <w:sz w:val="22"/>
                <w:szCs w:val="22"/>
              </w:rPr>
              <w:t>including:</w:t>
            </w:r>
          </w:p>
          <w:p w:rsidR="00C841AC" w:rsidRPr="006F0794" w:rsidRDefault="00C841AC" w:rsidP="00C841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explanation of how formative and summative assessment will be used to promote progression of learning and the feedback methods that will be used;</w:t>
            </w:r>
          </w:p>
          <w:p w:rsidR="00620F8C" w:rsidRPr="006F0794" w:rsidRDefault="00620F8C" w:rsidP="00C841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a description of the </w:t>
            </w:r>
            <w:r w:rsidR="00C841AC" w:rsidRPr="006F0794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Pr="006F0794">
              <w:rPr>
                <w:rFonts w:ascii="Arial" w:hAnsi="Arial" w:cs="Arial"/>
                <w:sz w:val="22"/>
                <w:szCs w:val="22"/>
              </w:rPr>
              <w:t>vari</w:t>
            </w:r>
            <w:r w:rsidR="00C841AC" w:rsidRPr="006F0794">
              <w:rPr>
                <w:rFonts w:ascii="Arial" w:hAnsi="Arial" w:cs="Arial"/>
                <w:sz w:val="22"/>
                <w:szCs w:val="22"/>
              </w:rPr>
              <w:t>ety of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 assessment </w:t>
            </w:r>
            <w:r w:rsidR="00C841AC" w:rsidRPr="006F0794">
              <w:rPr>
                <w:rFonts w:ascii="Arial" w:hAnsi="Arial" w:cs="Arial"/>
                <w:sz w:val="22"/>
                <w:szCs w:val="22"/>
              </w:rPr>
              <w:t>methods, including the use of innovative methods where possible;</w:t>
            </w:r>
          </w:p>
          <w:p w:rsidR="00C841AC" w:rsidRPr="006F0794" w:rsidRDefault="003F38AF" w:rsidP="00C841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information on</w:t>
            </w:r>
            <w:r w:rsidR="00C841AC" w:rsidRPr="006F0794">
              <w:rPr>
                <w:rFonts w:ascii="Arial" w:hAnsi="Arial" w:cs="Arial"/>
                <w:sz w:val="22"/>
                <w:szCs w:val="22"/>
              </w:rPr>
              <w:t xml:space="preserve"> assessment load;</w:t>
            </w:r>
          </w:p>
          <w:p w:rsidR="00C841AC" w:rsidRPr="006F0794" w:rsidRDefault="00C841AC" w:rsidP="00C841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explanation of how students will be adequately prepared to undertake the assessment (e.g. dissertation research methods preparation, module pre-requisites);</w:t>
            </w:r>
          </w:p>
          <w:p w:rsidR="00C841AC" w:rsidRPr="006F0794" w:rsidRDefault="00C841AC" w:rsidP="00C841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explanation of how the various assessment methods will enable the development of skills (specialised and transferable);</w:t>
            </w:r>
          </w:p>
          <w:p w:rsidR="00C841AC" w:rsidRPr="006F0794" w:rsidRDefault="00AC79E6" w:rsidP="00C841A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comment</w:t>
            </w:r>
            <w:r w:rsidR="006F0794" w:rsidRPr="006F0794">
              <w:rPr>
                <w:rFonts w:ascii="Arial" w:hAnsi="Arial" w:cs="Arial"/>
                <w:sz w:val="22"/>
                <w:szCs w:val="22"/>
              </w:rPr>
              <w:t>ary</w:t>
            </w:r>
            <w:proofErr w:type="gramEnd"/>
            <w:r w:rsidRPr="006F0794">
              <w:rPr>
                <w:rFonts w:ascii="Arial" w:hAnsi="Arial" w:cs="Arial"/>
                <w:sz w:val="22"/>
                <w:szCs w:val="22"/>
              </w:rPr>
              <w:t xml:space="preserve"> regarding the appropriateness of the strategy for students with any additional needs.</w:t>
            </w:r>
          </w:p>
          <w:p w:rsidR="00AC79E6" w:rsidRPr="00394245" w:rsidRDefault="00AC79E6" w:rsidP="00B675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(This section should be cross-referenced to the Assessment Schedule within the </w:t>
            </w:r>
            <w:r w:rsidR="00B67569" w:rsidRPr="006F0794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>Course Documentation</w:t>
            </w:r>
            <w:r w:rsidR="00B67569" w:rsidRPr="006F0794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section.) </w:t>
            </w:r>
          </w:p>
        </w:tc>
      </w:tr>
      <w:tr w:rsidR="00620F8C" w:rsidRPr="00A6453F" w:rsidTr="00620F8C">
        <w:tc>
          <w:tcPr>
            <w:tcW w:w="9242" w:type="dxa"/>
            <w:gridSpan w:val="2"/>
            <w:shd w:val="clear" w:color="auto" w:fill="auto"/>
          </w:tcPr>
          <w:p w:rsidR="00620F8C" w:rsidRDefault="00620F8C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43" w:rsidRPr="00F8446E" w:rsidRDefault="00401243" w:rsidP="00620F8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8AF" w:rsidRPr="00A6453F" w:rsidTr="00CE2D4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F38AF" w:rsidRDefault="003F38AF" w:rsidP="003F3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Overview of Resources (staffing, learning resources and physical resources) including:</w:t>
            </w:r>
          </w:p>
          <w:p w:rsidR="003F38AF" w:rsidRPr="006F0794" w:rsidRDefault="003F38AF" w:rsidP="003F38A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overview of the Course Team and how pastoral support is managed;</w:t>
            </w:r>
          </w:p>
          <w:p w:rsidR="003F38AF" w:rsidRPr="006F0794" w:rsidRDefault="003F38AF" w:rsidP="003F38A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the learning resources and physical resources in place to deliver the course;</w:t>
            </w:r>
          </w:p>
          <w:p w:rsidR="00B67569" w:rsidRPr="006F0794" w:rsidRDefault="00B67569" w:rsidP="003F38A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an overview of specialist, subject-related resources (where applicable);</w:t>
            </w:r>
          </w:p>
          <w:p w:rsidR="003F38AF" w:rsidRPr="006F0794" w:rsidRDefault="003F38AF" w:rsidP="003F38A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how resourcing implications (including staffing) w</w:t>
            </w:r>
            <w:r w:rsidR="00B67569" w:rsidRPr="006F0794">
              <w:rPr>
                <w:rFonts w:ascii="Arial" w:hAnsi="Arial" w:cs="Arial"/>
                <w:sz w:val="22"/>
                <w:szCs w:val="22"/>
              </w:rPr>
              <w:t>ill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 be managed as student numbers increase;</w:t>
            </w:r>
          </w:p>
          <w:p w:rsidR="003F38AF" w:rsidRPr="006F0794" w:rsidRDefault="00B67569" w:rsidP="003F38A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comment</w:t>
            </w:r>
            <w:r w:rsidR="006F0794" w:rsidRPr="006F0794">
              <w:rPr>
                <w:rFonts w:ascii="Arial" w:hAnsi="Arial" w:cs="Arial"/>
                <w:sz w:val="22"/>
                <w:szCs w:val="22"/>
              </w:rPr>
              <w:t>ary</w:t>
            </w:r>
            <w:proofErr w:type="gramEnd"/>
            <w:r w:rsidRPr="006F0794">
              <w:rPr>
                <w:rFonts w:ascii="Arial" w:hAnsi="Arial" w:cs="Arial"/>
                <w:sz w:val="22"/>
                <w:szCs w:val="22"/>
              </w:rPr>
              <w:t xml:space="preserve"> regarding the appropriateness of the learning resources and physical resources for students with any additional needs.</w:t>
            </w:r>
          </w:p>
          <w:p w:rsidR="00B67569" w:rsidRPr="00394245" w:rsidRDefault="00B67569" w:rsidP="00AC078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(This section should be cross-referenced to Appendix </w:t>
            </w:r>
            <w:r w:rsidR="00C120E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: Subject-Related Resources and Appendix </w:t>
            </w:r>
            <w:r w:rsidR="00C120ED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6F0794">
              <w:rPr>
                <w:rFonts w:ascii="Arial" w:hAnsi="Arial" w:cs="Arial"/>
                <w:i/>
                <w:sz w:val="22"/>
                <w:szCs w:val="22"/>
              </w:rPr>
              <w:t xml:space="preserve">: Current Course Management and Staffing within the “Supporting Documentation” section.)  </w:t>
            </w:r>
          </w:p>
        </w:tc>
      </w:tr>
      <w:tr w:rsidR="003F38AF" w:rsidRPr="00A6453F" w:rsidTr="003F38AF">
        <w:tc>
          <w:tcPr>
            <w:tcW w:w="9242" w:type="dxa"/>
            <w:gridSpan w:val="2"/>
            <w:shd w:val="clear" w:color="auto" w:fill="auto"/>
          </w:tcPr>
          <w:p w:rsidR="003F38AF" w:rsidRDefault="003F38AF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794" w:rsidRDefault="006F0794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569" w:rsidRDefault="00B67569" w:rsidP="003F38A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D06" w:rsidRPr="00A6453F" w:rsidTr="00CE2D4F">
        <w:tc>
          <w:tcPr>
            <w:tcW w:w="9242" w:type="dxa"/>
            <w:gridSpan w:val="2"/>
            <w:shd w:val="clear" w:color="auto" w:fill="D9D9D9" w:themeFill="background1" w:themeFillShade="D9"/>
          </w:tcPr>
          <w:p w:rsidR="00AE2D06" w:rsidRDefault="00AE2D06" w:rsidP="00AE2D0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Overview of work-based learning within the course, where applicable, including:</w:t>
            </w:r>
          </w:p>
          <w:p w:rsidR="00AE2D06" w:rsidRPr="006F0794" w:rsidRDefault="00AE2D06" w:rsidP="003F38AF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details of how year abroad/sandwich year/work-based learning/placement arrangements will be managed;</w:t>
            </w:r>
          </w:p>
          <w:p w:rsidR="00AE2D06" w:rsidRPr="006F0794" w:rsidRDefault="00AE2D06" w:rsidP="00AE2D0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details of how the </w:t>
            </w:r>
            <w:r w:rsidR="003F38AF" w:rsidRPr="006F0794">
              <w:rPr>
                <w:rFonts w:ascii="Arial" w:hAnsi="Arial" w:cs="Arial"/>
                <w:sz w:val="22"/>
                <w:szCs w:val="22"/>
              </w:rPr>
              <w:t xml:space="preserve">work-based learning 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arrangements adhere to the </w:t>
            </w:r>
            <w:hyperlink r:id="rId12" w:history="1">
              <w:r w:rsidRPr="006F0794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University’s Guidelines on Work-based Learning</w:t>
              </w:r>
            </w:hyperlink>
            <w:r w:rsidRPr="006F079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E2D06" w:rsidRPr="006F0794" w:rsidRDefault="00AE2D06" w:rsidP="00AE2D0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0794">
              <w:rPr>
                <w:rFonts w:ascii="Arial" w:hAnsi="Arial" w:cs="Arial"/>
                <w:sz w:val="22"/>
                <w:szCs w:val="22"/>
              </w:rPr>
              <w:t>details</w:t>
            </w:r>
            <w:proofErr w:type="gramEnd"/>
            <w:r w:rsidRPr="006F0794">
              <w:rPr>
                <w:rFonts w:ascii="Arial" w:hAnsi="Arial" w:cs="Arial"/>
                <w:sz w:val="22"/>
                <w:szCs w:val="22"/>
              </w:rPr>
              <w:t xml:space="preserve"> of how the work-based learning component will be assessed.</w:t>
            </w:r>
          </w:p>
          <w:p w:rsidR="00AE2D06" w:rsidRPr="00394245" w:rsidRDefault="00AE2D06" w:rsidP="00AE2D0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>(This section should be cross-referenced to the study abroad/ sandwich year/work-based learning/work placement guidance/handbooks within the ‘Course Documentation’ section.)</w:t>
            </w:r>
          </w:p>
        </w:tc>
      </w:tr>
      <w:tr w:rsidR="00AE2D06" w:rsidRPr="00A6453F" w:rsidTr="00AE2D06">
        <w:trPr>
          <w:trHeight w:val="344"/>
        </w:trPr>
        <w:tc>
          <w:tcPr>
            <w:tcW w:w="9242" w:type="dxa"/>
            <w:gridSpan w:val="2"/>
            <w:shd w:val="clear" w:color="auto" w:fill="auto"/>
          </w:tcPr>
          <w:p w:rsidR="00AE2D06" w:rsidRDefault="00AE2D06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57C" w:rsidRDefault="0047557C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AE2D0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Pr="009155A7" w:rsidRDefault="009155A7" w:rsidP="009155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55A7" w:rsidRPr="00A6453F" w:rsidTr="00CE2D4F">
        <w:tc>
          <w:tcPr>
            <w:tcW w:w="9242" w:type="dxa"/>
            <w:gridSpan w:val="2"/>
            <w:shd w:val="clear" w:color="auto" w:fill="D9D9D9" w:themeFill="background1" w:themeFillShade="D9"/>
          </w:tcPr>
          <w:p w:rsidR="009155A7" w:rsidRPr="009155A7" w:rsidRDefault="009155A7" w:rsidP="009155A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155A7">
              <w:rPr>
                <w:rFonts w:ascii="Arial" w:hAnsi="Arial" w:cs="Arial"/>
                <w:b/>
                <w:sz w:val="22"/>
                <w:szCs w:val="22"/>
              </w:rPr>
              <w:t>Highlight the key themes that you would like the Panel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focus on at the Validation Event</w:t>
            </w:r>
          </w:p>
        </w:tc>
      </w:tr>
      <w:tr w:rsidR="009155A7" w:rsidRPr="00A6453F" w:rsidTr="009155A7">
        <w:tc>
          <w:tcPr>
            <w:tcW w:w="9242" w:type="dxa"/>
            <w:gridSpan w:val="2"/>
            <w:shd w:val="clear" w:color="auto" w:fill="auto"/>
          </w:tcPr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Pr="009C5309" w:rsidRDefault="009155A7" w:rsidP="009155A7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D4F" w:rsidRPr="00A6453F" w:rsidTr="00CE2D4F">
        <w:tc>
          <w:tcPr>
            <w:tcW w:w="9242" w:type="dxa"/>
            <w:gridSpan w:val="2"/>
            <w:shd w:val="clear" w:color="auto" w:fill="D9D9D9" w:themeFill="background1" w:themeFillShade="D9"/>
          </w:tcPr>
          <w:p w:rsidR="00CE2D4F" w:rsidRDefault="00CE2D4F" w:rsidP="00F844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>Any other relevant issues</w:t>
            </w:r>
          </w:p>
          <w:p w:rsidR="00F8446E" w:rsidRPr="009C5309" w:rsidRDefault="00F8446E" w:rsidP="00F8446E">
            <w:pPr>
              <w:pStyle w:val="ListParagraph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D4F" w:rsidRPr="00A6453F" w:rsidTr="00CE2D4F">
        <w:tc>
          <w:tcPr>
            <w:tcW w:w="9242" w:type="dxa"/>
            <w:gridSpan w:val="2"/>
            <w:shd w:val="clear" w:color="auto" w:fill="FFFFFF" w:themeFill="background1"/>
          </w:tcPr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794" w:rsidRDefault="006F0794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5A7" w:rsidRDefault="009155A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A77" w:rsidRPr="009C5309" w:rsidRDefault="00C10A7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5917" w:rsidRDefault="006C5917" w:rsidP="00CE2D4F">
      <w:pPr>
        <w:pStyle w:val="LargeTitle"/>
        <w:rPr>
          <w:rFonts w:ascii="Arial" w:hAnsi="Arial"/>
        </w:rPr>
      </w:pPr>
      <w:bookmarkStart w:id="0" w:name="_GoBack"/>
      <w:bookmarkEnd w:id="0"/>
    </w:p>
    <w:sectPr w:rsidR="006C591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4" w:rsidRDefault="00EC6DD4" w:rsidP="00AE7E9C">
      <w:r>
        <w:separator/>
      </w:r>
    </w:p>
  </w:endnote>
  <w:endnote w:type="continuationSeparator" w:id="0">
    <w:p w:rsidR="00EC6DD4" w:rsidRDefault="00EC6DD4" w:rsidP="00A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70" w:rsidRPr="00624070" w:rsidRDefault="00846E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22</w:t>
    </w:r>
    <w:r w:rsidR="0047557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</w:t>
    </w:r>
    <w:r w:rsidR="0047557C">
      <w:rPr>
        <w:rFonts w:ascii="Arial" w:hAnsi="Arial" w:cs="Arial"/>
        <w:sz w:val="16"/>
        <w:szCs w:val="16"/>
      </w:rPr>
      <w:t>/2017</w:t>
    </w:r>
    <w:r w:rsidR="00624070" w:rsidRPr="00624070">
      <w:rPr>
        <w:rFonts w:ascii="Arial" w:hAnsi="Arial" w:cs="Arial"/>
        <w:sz w:val="16"/>
        <w:szCs w:val="16"/>
      </w:rPr>
      <w:tab/>
    </w:r>
    <w:r w:rsidR="00624070" w:rsidRPr="00624070">
      <w:rPr>
        <w:rFonts w:ascii="Arial" w:hAnsi="Arial" w:cs="Arial"/>
        <w:sz w:val="16"/>
        <w:szCs w:val="16"/>
      </w:rPr>
      <w:tab/>
    </w:r>
    <w:r w:rsidR="00624070" w:rsidRPr="00624070">
      <w:rPr>
        <w:rFonts w:ascii="Arial" w:hAnsi="Arial" w:cs="Arial"/>
        <w:sz w:val="16"/>
        <w:szCs w:val="16"/>
      </w:rPr>
      <w:fldChar w:fldCharType="begin"/>
    </w:r>
    <w:r w:rsidR="00624070" w:rsidRPr="00624070">
      <w:rPr>
        <w:rFonts w:ascii="Arial" w:hAnsi="Arial" w:cs="Arial"/>
        <w:sz w:val="16"/>
        <w:szCs w:val="16"/>
      </w:rPr>
      <w:instrText xml:space="preserve"> PAGE   \* MERGEFORMAT </w:instrText>
    </w:r>
    <w:r w:rsidR="00624070" w:rsidRPr="0062407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="00624070" w:rsidRPr="00624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4" w:rsidRDefault="00EC6DD4" w:rsidP="00AE7E9C">
      <w:r>
        <w:separator/>
      </w:r>
    </w:p>
  </w:footnote>
  <w:footnote w:type="continuationSeparator" w:id="0">
    <w:p w:rsidR="00EC6DD4" w:rsidRDefault="00EC6DD4" w:rsidP="00AE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  <w:r w:rsidRPr="001F38C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89B459" wp14:editId="34D8AABA">
          <wp:simplePos x="0" y="0"/>
          <wp:positionH relativeFrom="column">
            <wp:posOffset>-397510</wp:posOffset>
          </wp:positionH>
          <wp:positionV relativeFrom="paragraph">
            <wp:posOffset>-215457</wp:posOffset>
          </wp:positionV>
          <wp:extent cx="1479550" cy="539750"/>
          <wp:effectExtent l="0" t="0" r="6350" b="0"/>
          <wp:wrapNone/>
          <wp:docPr id="8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</w:p>
  <w:p w:rsidR="00AE7E9C" w:rsidRDefault="00AE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D19"/>
    <w:multiLevelType w:val="hybridMultilevel"/>
    <w:tmpl w:val="0338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960"/>
    <w:multiLevelType w:val="hybridMultilevel"/>
    <w:tmpl w:val="C29C8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31C84"/>
    <w:multiLevelType w:val="hybridMultilevel"/>
    <w:tmpl w:val="40B49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F7B"/>
    <w:multiLevelType w:val="hybridMultilevel"/>
    <w:tmpl w:val="3FE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C15"/>
    <w:multiLevelType w:val="hybridMultilevel"/>
    <w:tmpl w:val="277E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6EAC"/>
    <w:multiLevelType w:val="hybridMultilevel"/>
    <w:tmpl w:val="062AD2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00A6"/>
    <w:multiLevelType w:val="hybridMultilevel"/>
    <w:tmpl w:val="3F38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23D7"/>
    <w:multiLevelType w:val="hybridMultilevel"/>
    <w:tmpl w:val="5798F322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46916"/>
    <w:multiLevelType w:val="hybridMultilevel"/>
    <w:tmpl w:val="79C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07A1"/>
    <w:multiLevelType w:val="hybridMultilevel"/>
    <w:tmpl w:val="9218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D5BD5"/>
    <w:multiLevelType w:val="hybridMultilevel"/>
    <w:tmpl w:val="A768F07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2F098D"/>
    <w:multiLevelType w:val="hybridMultilevel"/>
    <w:tmpl w:val="13B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F002C"/>
    <w:multiLevelType w:val="hybridMultilevel"/>
    <w:tmpl w:val="74CA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9185A"/>
    <w:multiLevelType w:val="hybridMultilevel"/>
    <w:tmpl w:val="DB42F4EE"/>
    <w:lvl w:ilvl="0" w:tplc="F396412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0021FE"/>
    <w:multiLevelType w:val="hybridMultilevel"/>
    <w:tmpl w:val="E142552C"/>
    <w:lvl w:ilvl="0" w:tplc="8B106C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5F185B"/>
    <w:multiLevelType w:val="hybridMultilevel"/>
    <w:tmpl w:val="C2F6F222"/>
    <w:lvl w:ilvl="0" w:tplc="BC84B8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E04AA"/>
    <w:multiLevelType w:val="hybridMultilevel"/>
    <w:tmpl w:val="318AF900"/>
    <w:lvl w:ilvl="0" w:tplc="CF3E2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D300C"/>
    <w:multiLevelType w:val="hybridMultilevel"/>
    <w:tmpl w:val="F182A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503E1"/>
    <w:multiLevelType w:val="hybridMultilevel"/>
    <w:tmpl w:val="6978A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72464"/>
    <w:multiLevelType w:val="hybridMultilevel"/>
    <w:tmpl w:val="F53ECD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5517A5A"/>
    <w:multiLevelType w:val="hybridMultilevel"/>
    <w:tmpl w:val="24F89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6E582E"/>
    <w:multiLevelType w:val="hybridMultilevel"/>
    <w:tmpl w:val="3328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330F1"/>
    <w:multiLevelType w:val="hybridMultilevel"/>
    <w:tmpl w:val="90BE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E293B"/>
    <w:multiLevelType w:val="hybridMultilevel"/>
    <w:tmpl w:val="0F80F5DC"/>
    <w:lvl w:ilvl="0" w:tplc="F994240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511E2"/>
    <w:multiLevelType w:val="hybridMultilevel"/>
    <w:tmpl w:val="B59CD5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93DFA"/>
    <w:multiLevelType w:val="hybridMultilevel"/>
    <w:tmpl w:val="77D2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97A97"/>
    <w:multiLevelType w:val="hybridMultilevel"/>
    <w:tmpl w:val="C102DC86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994240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7562A7"/>
    <w:multiLevelType w:val="hybridMultilevel"/>
    <w:tmpl w:val="FB4A01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C31C05"/>
    <w:multiLevelType w:val="hybridMultilevel"/>
    <w:tmpl w:val="3928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44101"/>
    <w:multiLevelType w:val="hybridMultilevel"/>
    <w:tmpl w:val="275AEA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F24599"/>
    <w:multiLevelType w:val="hybridMultilevel"/>
    <w:tmpl w:val="63BCA42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9B7174"/>
    <w:multiLevelType w:val="hybridMultilevel"/>
    <w:tmpl w:val="857A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9441D"/>
    <w:multiLevelType w:val="hybridMultilevel"/>
    <w:tmpl w:val="AE28C278"/>
    <w:lvl w:ilvl="0" w:tplc="ED904E7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55CD1"/>
    <w:multiLevelType w:val="hybridMultilevel"/>
    <w:tmpl w:val="2C5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623A7"/>
    <w:multiLevelType w:val="hybridMultilevel"/>
    <w:tmpl w:val="0044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B7C33"/>
    <w:multiLevelType w:val="hybridMultilevel"/>
    <w:tmpl w:val="42F2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21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24"/>
  </w:num>
  <w:num w:numId="11">
    <w:abstractNumId w:val="30"/>
  </w:num>
  <w:num w:numId="12">
    <w:abstractNumId w:val="27"/>
  </w:num>
  <w:num w:numId="13">
    <w:abstractNumId w:val="5"/>
  </w:num>
  <w:num w:numId="14">
    <w:abstractNumId w:val="10"/>
  </w:num>
  <w:num w:numId="15">
    <w:abstractNumId w:val="15"/>
  </w:num>
  <w:num w:numId="16">
    <w:abstractNumId w:val="13"/>
  </w:num>
  <w:num w:numId="17">
    <w:abstractNumId w:val="35"/>
  </w:num>
  <w:num w:numId="18">
    <w:abstractNumId w:val="14"/>
  </w:num>
  <w:num w:numId="19">
    <w:abstractNumId w:val="32"/>
  </w:num>
  <w:num w:numId="20">
    <w:abstractNumId w:val="29"/>
  </w:num>
  <w:num w:numId="21">
    <w:abstractNumId w:val="26"/>
  </w:num>
  <w:num w:numId="22">
    <w:abstractNumId w:val="7"/>
  </w:num>
  <w:num w:numId="23">
    <w:abstractNumId w:val="20"/>
  </w:num>
  <w:num w:numId="24">
    <w:abstractNumId w:val="0"/>
  </w:num>
  <w:num w:numId="25">
    <w:abstractNumId w:val="22"/>
  </w:num>
  <w:num w:numId="26">
    <w:abstractNumId w:val="25"/>
  </w:num>
  <w:num w:numId="27">
    <w:abstractNumId w:val="31"/>
  </w:num>
  <w:num w:numId="28">
    <w:abstractNumId w:val="1"/>
  </w:num>
  <w:num w:numId="29">
    <w:abstractNumId w:val="34"/>
  </w:num>
  <w:num w:numId="30">
    <w:abstractNumId w:val="2"/>
  </w:num>
  <w:num w:numId="31">
    <w:abstractNumId w:val="33"/>
  </w:num>
  <w:num w:numId="32">
    <w:abstractNumId w:val="16"/>
  </w:num>
  <w:num w:numId="33">
    <w:abstractNumId w:val="18"/>
  </w:num>
  <w:num w:numId="34">
    <w:abstractNumId w:val="19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7"/>
    <w:rsid w:val="00094242"/>
    <w:rsid w:val="000D520F"/>
    <w:rsid w:val="00105852"/>
    <w:rsid w:val="00106626"/>
    <w:rsid w:val="00162791"/>
    <w:rsid w:val="00174D80"/>
    <w:rsid w:val="00194EFB"/>
    <w:rsid w:val="001B7FFB"/>
    <w:rsid w:val="001D157A"/>
    <w:rsid w:val="001D2CB5"/>
    <w:rsid w:val="001E3125"/>
    <w:rsid w:val="002235F1"/>
    <w:rsid w:val="002407B8"/>
    <w:rsid w:val="00245048"/>
    <w:rsid w:val="00246E8F"/>
    <w:rsid w:val="002E5278"/>
    <w:rsid w:val="003560AA"/>
    <w:rsid w:val="00377217"/>
    <w:rsid w:val="00394245"/>
    <w:rsid w:val="003A3227"/>
    <w:rsid w:val="003F38AF"/>
    <w:rsid w:val="00401243"/>
    <w:rsid w:val="004042C6"/>
    <w:rsid w:val="00414A8E"/>
    <w:rsid w:val="0047557C"/>
    <w:rsid w:val="004912C2"/>
    <w:rsid w:val="004A26E1"/>
    <w:rsid w:val="00503D48"/>
    <w:rsid w:val="00516E8D"/>
    <w:rsid w:val="00556CF4"/>
    <w:rsid w:val="005A71B7"/>
    <w:rsid w:val="005B04C9"/>
    <w:rsid w:val="005F0F67"/>
    <w:rsid w:val="00613C2F"/>
    <w:rsid w:val="00620F8C"/>
    <w:rsid w:val="00624070"/>
    <w:rsid w:val="006719AB"/>
    <w:rsid w:val="00681F1B"/>
    <w:rsid w:val="006C5917"/>
    <w:rsid w:val="006C763B"/>
    <w:rsid w:val="006F0794"/>
    <w:rsid w:val="00721025"/>
    <w:rsid w:val="00740FE9"/>
    <w:rsid w:val="00747D08"/>
    <w:rsid w:val="00846EBC"/>
    <w:rsid w:val="008675D0"/>
    <w:rsid w:val="009155A7"/>
    <w:rsid w:val="009C5309"/>
    <w:rsid w:val="00A21345"/>
    <w:rsid w:val="00A6453F"/>
    <w:rsid w:val="00A72889"/>
    <w:rsid w:val="00A733F8"/>
    <w:rsid w:val="00AC0787"/>
    <w:rsid w:val="00AC5536"/>
    <w:rsid w:val="00AC79E6"/>
    <w:rsid w:val="00AE2D06"/>
    <w:rsid w:val="00AE7E9C"/>
    <w:rsid w:val="00B24BEC"/>
    <w:rsid w:val="00B37A98"/>
    <w:rsid w:val="00B44796"/>
    <w:rsid w:val="00B57352"/>
    <w:rsid w:val="00B67569"/>
    <w:rsid w:val="00BD691F"/>
    <w:rsid w:val="00BE45C7"/>
    <w:rsid w:val="00C10A77"/>
    <w:rsid w:val="00C120ED"/>
    <w:rsid w:val="00C46665"/>
    <w:rsid w:val="00C71256"/>
    <w:rsid w:val="00C75E61"/>
    <w:rsid w:val="00C841AC"/>
    <w:rsid w:val="00CE2D4F"/>
    <w:rsid w:val="00D00F84"/>
    <w:rsid w:val="00D26F5A"/>
    <w:rsid w:val="00D61408"/>
    <w:rsid w:val="00D6483B"/>
    <w:rsid w:val="00D865FD"/>
    <w:rsid w:val="00D95AF2"/>
    <w:rsid w:val="00DB2111"/>
    <w:rsid w:val="00DC5D4B"/>
    <w:rsid w:val="00DF7D18"/>
    <w:rsid w:val="00E223A4"/>
    <w:rsid w:val="00E90023"/>
    <w:rsid w:val="00EC109A"/>
    <w:rsid w:val="00EC6DD4"/>
    <w:rsid w:val="00EF3B31"/>
    <w:rsid w:val="00F8446E"/>
    <w:rsid w:val="00F86E41"/>
    <w:rsid w:val="00FA7DBA"/>
    <w:rsid w:val="00FC2012"/>
    <w:rsid w:val="00FF330A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8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strategy/documents/strategic-plan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sex.ac.uk/quality/university_policies/WBL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sex.ac.uk/students/exams-and-coursework/ppg/pgt/assess-rul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sex.ac.uk/students/exams-and-coursework/ppg/ug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ac.uk/about/strategy/documents/education_strategy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Day</dc:creator>
  <cp:lastModifiedBy>Strohm, Charlotte</cp:lastModifiedBy>
  <cp:revision>9</cp:revision>
  <cp:lastPrinted>2015-12-17T20:51:00Z</cp:lastPrinted>
  <dcterms:created xsi:type="dcterms:W3CDTF">2017-01-23T12:47:00Z</dcterms:created>
  <dcterms:modified xsi:type="dcterms:W3CDTF">2017-02-21T15:25:00Z</dcterms:modified>
</cp:coreProperties>
</file>